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934" w:rsidRDefault="00863934" w:rsidP="00287997">
      <w:pPr>
        <w:spacing w:after="277" w:line="320" w:lineRule="exact"/>
        <w:ind w:left="12"/>
        <w:jc w:val="center"/>
        <w:rPr>
          <w:rFonts w:ascii="Cambria" w:hAnsi="Cambria"/>
          <w:b/>
          <w:color w:val="2F5496" w:themeColor="accent5" w:themeShade="BF"/>
          <w:sz w:val="28"/>
          <w:szCs w:val="28"/>
          <w:lang w:val="de-DE"/>
        </w:rPr>
      </w:pPr>
    </w:p>
    <w:p w:rsidR="00BF0C77" w:rsidRDefault="00B27CB8" w:rsidP="00863934">
      <w:pPr>
        <w:spacing w:after="0" w:line="320" w:lineRule="exact"/>
        <w:ind w:left="11" w:hanging="11"/>
        <w:jc w:val="center"/>
        <w:rPr>
          <w:rFonts w:ascii="Cambria" w:hAnsi="Cambria"/>
          <w:b/>
          <w:color w:val="2F5496" w:themeColor="accent5" w:themeShade="BF"/>
          <w:sz w:val="28"/>
          <w:szCs w:val="28"/>
          <w:lang w:val="de-DE"/>
        </w:rPr>
      </w:pPr>
      <w:r w:rsidRPr="00863934">
        <w:rPr>
          <w:rFonts w:ascii="Cambria" w:hAnsi="Cambria"/>
          <w:b/>
          <w:color w:val="2F5496" w:themeColor="accent5" w:themeShade="BF"/>
          <w:sz w:val="28"/>
          <w:szCs w:val="28"/>
          <w:lang w:val="de-DE"/>
        </w:rPr>
        <w:t xml:space="preserve">29. Internationaler Kongress des Notariats </w:t>
      </w:r>
    </w:p>
    <w:p w:rsidR="00863934" w:rsidRPr="00863934" w:rsidRDefault="00863934" w:rsidP="00287997">
      <w:pPr>
        <w:spacing w:after="277" w:line="320" w:lineRule="exact"/>
        <w:ind w:left="12"/>
        <w:jc w:val="center"/>
        <w:rPr>
          <w:rFonts w:ascii="Cambria" w:hAnsi="Cambria"/>
          <w:color w:val="2F5496" w:themeColor="accent5" w:themeShade="BF"/>
          <w:szCs w:val="24"/>
          <w:lang w:val="de-DE"/>
        </w:rPr>
      </w:pPr>
      <w:r w:rsidRPr="00863934">
        <w:rPr>
          <w:rFonts w:ascii="Cambria" w:hAnsi="Cambria"/>
          <w:b/>
          <w:color w:val="2F5496" w:themeColor="accent5" w:themeShade="BF"/>
          <w:szCs w:val="24"/>
          <w:lang w:val="de-DE"/>
        </w:rPr>
        <w:t>Jakarta, Indonesien – 27-30 November 2019</w:t>
      </w:r>
    </w:p>
    <w:p w:rsidR="00BF0C77" w:rsidRPr="00863934" w:rsidRDefault="00B27CB8" w:rsidP="00287997">
      <w:pPr>
        <w:spacing w:after="277" w:line="320" w:lineRule="exact"/>
        <w:ind w:left="12" w:right="6"/>
        <w:jc w:val="center"/>
        <w:rPr>
          <w:rFonts w:ascii="Cambria" w:hAnsi="Cambria"/>
          <w:color w:val="2F5496" w:themeColor="accent5" w:themeShade="BF"/>
          <w:sz w:val="28"/>
          <w:szCs w:val="28"/>
        </w:rPr>
      </w:pPr>
      <w:r w:rsidRPr="00863934">
        <w:rPr>
          <w:rFonts w:ascii="Cambria" w:hAnsi="Cambria"/>
          <w:b/>
          <w:color w:val="2F5496" w:themeColor="accent5" w:themeShade="BF"/>
          <w:sz w:val="28"/>
          <w:szCs w:val="28"/>
          <w:lang w:val="de-DE"/>
        </w:rPr>
        <w:t xml:space="preserve">Thema I: Gültigkeit der Prinzipien des Notariats im 21. </w:t>
      </w:r>
      <w:proofErr w:type="spellStart"/>
      <w:r w:rsidRPr="00863934">
        <w:rPr>
          <w:rFonts w:ascii="Cambria" w:hAnsi="Cambria"/>
          <w:b/>
          <w:color w:val="2F5496" w:themeColor="accent5" w:themeShade="BF"/>
          <w:sz w:val="28"/>
          <w:szCs w:val="28"/>
        </w:rPr>
        <w:t>Jahrhundert</w:t>
      </w:r>
      <w:proofErr w:type="spellEnd"/>
      <w:r w:rsidRPr="00863934">
        <w:rPr>
          <w:rFonts w:ascii="Cambria" w:hAnsi="Cambria"/>
          <w:b/>
          <w:color w:val="2F5496" w:themeColor="accent5" w:themeShade="BF"/>
          <w:sz w:val="28"/>
          <w:szCs w:val="28"/>
        </w:rPr>
        <w:t xml:space="preserve"> </w:t>
      </w:r>
    </w:p>
    <w:p w:rsidR="00BF0C77" w:rsidRPr="00863934" w:rsidRDefault="00863934" w:rsidP="00287997">
      <w:pPr>
        <w:spacing w:after="277" w:line="320" w:lineRule="exact"/>
        <w:ind w:left="12"/>
        <w:jc w:val="center"/>
        <w:rPr>
          <w:rFonts w:ascii="Cambria" w:hAnsi="Cambria"/>
          <w:color w:val="2F5496" w:themeColor="accent5" w:themeShade="BF"/>
          <w:sz w:val="28"/>
          <w:szCs w:val="28"/>
          <w:lang w:val="de-DE"/>
        </w:rPr>
      </w:pPr>
      <w:r w:rsidRPr="00863934">
        <w:rPr>
          <w:rFonts w:ascii="Cambria" w:hAnsi="Cambria"/>
          <w:b/>
          <w:color w:val="2F5496" w:themeColor="accent5" w:themeShade="BF"/>
          <w:sz w:val="28"/>
          <w:szCs w:val="28"/>
          <w:lang w:val="de-DE"/>
        </w:rPr>
        <w:t>SCHLUSSFOLGERUNGEN</w:t>
      </w:r>
      <w:r w:rsidR="00B27CB8" w:rsidRPr="00863934">
        <w:rPr>
          <w:rFonts w:ascii="Cambria" w:hAnsi="Cambria"/>
          <w:b/>
          <w:color w:val="2F5496" w:themeColor="accent5" w:themeShade="BF"/>
          <w:sz w:val="28"/>
          <w:szCs w:val="28"/>
          <w:lang w:val="de-DE"/>
        </w:rPr>
        <w:t xml:space="preserve"> </w:t>
      </w:r>
    </w:p>
    <w:p w:rsidR="00BF0C77" w:rsidRPr="00B27CB8" w:rsidRDefault="009B08CD" w:rsidP="00287997">
      <w:pPr>
        <w:spacing w:after="276" w:line="320" w:lineRule="exact"/>
        <w:ind w:left="70" w:firstLine="0"/>
        <w:jc w:val="center"/>
        <w:rPr>
          <w:lang w:val="de-DE"/>
        </w:rPr>
      </w:pPr>
      <w:r>
        <w:rPr>
          <w:lang w:val="de-DE"/>
        </w:rPr>
        <w:pict>
          <v:rect id="_x0000_i1025" style="width:0;height:1.5pt" o:hralign="center" o:hrstd="t" o:hr="t" fillcolor="#a0a0a0" stroked="f"/>
        </w:pict>
      </w:r>
    </w:p>
    <w:p w:rsidR="00BF0C77" w:rsidRPr="00287997" w:rsidRDefault="00B27CB8" w:rsidP="006151F5">
      <w:pPr>
        <w:spacing w:after="240" w:line="320" w:lineRule="exact"/>
        <w:ind w:left="11" w:hanging="11"/>
        <w:jc w:val="both"/>
        <w:rPr>
          <w:rFonts w:asciiTheme="minorHAnsi" w:hAnsiTheme="minorHAnsi" w:cstheme="minorHAnsi"/>
          <w:szCs w:val="24"/>
          <w:lang w:val="de-DE"/>
        </w:rPr>
      </w:pPr>
      <w:r w:rsidRPr="00287997">
        <w:rPr>
          <w:rFonts w:asciiTheme="minorHAnsi" w:hAnsiTheme="minorHAnsi" w:cstheme="minorHAnsi"/>
          <w:szCs w:val="24"/>
          <w:lang w:val="de-DE"/>
        </w:rPr>
        <w:t xml:space="preserve">Die Prinzipien des Notariats werden auch im 21. </w:t>
      </w:r>
      <w:r w:rsidRPr="00863934">
        <w:rPr>
          <w:rFonts w:asciiTheme="minorHAnsi" w:hAnsiTheme="minorHAnsi" w:cstheme="minorHAnsi"/>
          <w:szCs w:val="24"/>
          <w:lang w:val="de-DE"/>
        </w:rPr>
        <w:t xml:space="preserve">Jahrhundert ihre Gültigkeit behalten. </w:t>
      </w:r>
      <w:r w:rsidRPr="00287997">
        <w:rPr>
          <w:rFonts w:asciiTheme="minorHAnsi" w:hAnsiTheme="minorHAnsi" w:cstheme="minorHAnsi"/>
          <w:szCs w:val="24"/>
          <w:lang w:val="de-DE"/>
        </w:rPr>
        <w:t>Diese Prinzipien wurden und werden stets an die wandelnden Bedürfnisse der Gesellschaft angepasst. Sie bleiben damit die Basis für die weitere Bedeutung des Notariats. Notare haben oft als Vorreiter neue und innovative Entwicklungen begleitet und gefördert, z.B. im Bereich moderner Informationstechnologien. So beweisen sie die Zukunftsfähigkeit ihres Berufsstandes</w:t>
      </w:r>
      <w:r w:rsidR="008E1160">
        <w:rPr>
          <w:rFonts w:asciiTheme="minorHAnsi" w:hAnsiTheme="minorHAnsi" w:cstheme="minorHAnsi"/>
          <w:szCs w:val="24"/>
          <w:lang w:val="de-DE"/>
        </w:rPr>
        <w:t>.</w:t>
      </w:r>
      <w:r w:rsidRPr="00287997">
        <w:rPr>
          <w:rFonts w:asciiTheme="minorHAnsi" w:hAnsiTheme="minorHAnsi" w:cstheme="minorHAnsi"/>
          <w:szCs w:val="24"/>
          <w:lang w:val="de-DE"/>
        </w:rPr>
        <w:t xml:space="preserve"> </w:t>
      </w:r>
    </w:p>
    <w:p w:rsidR="00BF0C77" w:rsidRPr="00287997" w:rsidRDefault="00B27CB8" w:rsidP="00287997">
      <w:pPr>
        <w:numPr>
          <w:ilvl w:val="0"/>
          <w:numId w:val="1"/>
        </w:numPr>
        <w:spacing w:after="120" w:line="320" w:lineRule="exact"/>
        <w:ind w:hanging="360"/>
        <w:jc w:val="both"/>
        <w:rPr>
          <w:rFonts w:asciiTheme="minorHAnsi" w:hAnsiTheme="minorHAnsi" w:cstheme="minorHAnsi"/>
          <w:szCs w:val="24"/>
          <w:lang w:val="de-DE"/>
        </w:rPr>
      </w:pPr>
      <w:r w:rsidRPr="00287997">
        <w:rPr>
          <w:rFonts w:asciiTheme="minorHAnsi" w:hAnsiTheme="minorHAnsi" w:cstheme="minorHAnsi"/>
          <w:b/>
          <w:szCs w:val="24"/>
          <w:lang w:val="de-DE"/>
        </w:rPr>
        <w:t xml:space="preserve">Als Träger eines öffentlichen Amtes erfüllen Notare vom Staat übertragene hoheitliche Aufgaben. Sie sind Teil der Justiz und entlasten die streitige Gerichtsbarkeit durch umfängliche Tatsachenermittlung, rechtliche Vorprüfungen sowie streitvermeidende </w:t>
      </w:r>
      <w:proofErr w:type="spellStart"/>
      <w:r w:rsidRPr="00287997">
        <w:rPr>
          <w:rFonts w:asciiTheme="minorHAnsi" w:hAnsiTheme="minorHAnsi" w:cstheme="minorHAnsi"/>
          <w:b/>
          <w:szCs w:val="24"/>
          <w:lang w:val="de-DE"/>
        </w:rPr>
        <w:t>Urkundsgestaltungen</w:t>
      </w:r>
      <w:proofErr w:type="spellEnd"/>
      <w:r w:rsidRPr="00287997">
        <w:rPr>
          <w:rFonts w:asciiTheme="minorHAnsi" w:hAnsiTheme="minorHAnsi" w:cstheme="minorHAnsi"/>
          <w:b/>
          <w:szCs w:val="24"/>
          <w:lang w:val="de-DE"/>
        </w:rPr>
        <w:t xml:space="preserve">. </w:t>
      </w:r>
    </w:p>
    <w:p w:rsidR="00BF0C77" w:rsidRPr="00287997" w:rsidRDefault="00B27CB8" w:rsidP="006151F5">
      <w:pPr>
        <w:numPr>
          <w:ilvl w:val="2"/>
          <w:numId w:val="4"/>
        </w:numPr>
        <w:spacing w:after="120" w:line="320" w:lineRule="exact"/>
        <w:ind w:left="1134" w:hanging="425"/>
        <w:jc w:val="both"/>
        <w:rPr>
          <w:rFonts w:asciiTheme="minorHAnsi" w:hAnsiTheme="minorHAnsi" w:cstheme="minorHAnsi"/>
          <w:szCs w:val="24"/>
          <w:lang w:val="de-DE"/>
        </w:rPr>
      </w:pPr>
      <w:r w:rsidRPr="00287997">
        <w:rPr>
          <w:rFonts w:asciiTheme="minorHAnsi" w:hAnsiTheme="minorHAnsi" w:cstheme="minorHAnsi"/>
          <w:szCs w:val="24"/>
          <w:lang w:val="de-DE"/>
        </w:rPr>
        <w:t>Notare sind ein öffentlicher „</w:t>
      </w:r>
      <w:proofErr w:type="spellStart"/>
      <w:r w:rsidRPr="00287997">
        <w:rPr>
          <w:rFonts w:asciiTheme="minorHAnsi" w:hAnsiTheme="minorHAnsi" w:cstheme="minorHAnsi"/>
          <w:szCs w:val="24"/>
          <w:lang w:val="de-DE"/>
        </w:rPr>
        <w:t>One</w:t>
      </w:r>
      <w:proofErr w:type="spellEnd"/>
      <w:r w:rsidRPr="00287997">
        <w:rPr>
          <w:rFonts w:asciiTheme="minorHAnsi" w:hAnsiTheme="minorHAnsi" w:cstheme="minorHAnsi"/>
          <w:szCs w:val="24"/>
          <w:lang w:val="de-DE"/>
        </w:rPr>
        <w:t>-</w:t>
      </w:r>
      <w:proofErr w:type="spellStart"/>
      <w:r w:rsidRPr="00287997">
        <w:rPr>
          <w:rFonts w:asciiTheme="minorHAnsi" w:hAnsiTheme="minorHAnsi" w:cstheme="minorHAnsi"/>
          <w:szCs w:val="24"/>
          <w:lang w:val="de-DE"/>
        </w:rPr>
        <w:t>Stop</w:t>
      </w:r>
      <w:proofErr w:type="spellEnd"/>
      <w:r w:rsidRPr="00287997">
        <w:rPr>
          <w:rFonts w:asciiTheme="minorHAnsi" w:hAnsiTheme="minorHAnsi" w:cstheme="minorHAnsi"/>
          <w:szCs w:val="24"/>
          <w:lang w:val="de-DE"/>
        </w:rPr>
        <w:t xml:space="preserve">-Shop“. Sie bündeln viele Verfahrensschritte und ermitteln die für ein Rechtsgeschäft erforderlichen Informationen. So betreuen Sie die Beteiligten z.B. bei Immobilientransaktionen oder Gesellschaftsgründungen, leiten die notwendigen Verfahrensschritte ein und wickeln diese weitgehend vollständig für die Bürger ab. </w:t>
      </w:r>
    </w:p>
    <w:p w:rsidR="00BF0C77" w:rsidRPr="00287997" w:rsidRDefault="00B27CB8" w:rsidP="006151F5">
      <w:pPr>
        <w:numPr>
          <w:ilvl w:val="2"/>
          <w:numId w:val="4"/>
        </w:numPr>
        <w:spacing w:after="120" w:line="320" w:lineRule="exact"/>
        <w:ind w:left="1134" w:hanging="425"/>
        <w:jc w:val="both"/>
        <w:rPr>
          <w:rFonts w:asciiTheme="minorHAnsi" w:hAnsiTheme="minorHAnsi" w:cstheme="minorHAnsi"/>
          <w:szCs w:val="24"/>
          <w:lang w:val="de-DE"/>
        </w:rPr>
      </w:pPr>
      <w:r w:rsidRPr="00287997">
        <w:rPr>
          <w:rFonts w:asciiTheme="minorHAnsi" w:hAnsiTheme="minorHAnsi" w:cstheme="minorHAnsi"/>
          <w:szCs w:val="24"/>
          <w:lang w:val="de-DE"/>
        </w:rPr>
        <w:t xml:space="preserve">Durch umfassende und abschließende rechtliche Überprüfung der bei den öffentlichen Registern wie etwa Grundbuch oder Handelsregister einzureichenden Unterlagen kommt ihnen als Richter im Vorfeld eine Filterfunktion für diese Register zu. </w:t>
      </w:r>
    </w:p>
    <w:p w:rsidR="00BF0C77" w:rsidRPr="006151F5" w:rsidRDefault="00B27CB8" w:rsidP="006151F5">
      <w:pPr>
        <w:numPr>
          <w:ilvl w:val="2"/>
          <w:numId w:val="4"/>
        </w:numPr>
        <w:spacing w:after="120" w:line="320" w:lineRule="exact"/>
        <w:ind w:left="1134" w:right="74" w:hanging="425"/>
        <w:jc w:val="both"/>
        <w:rPr>
          <w:rFonts w:asciiTheme="minorHAnsi" w:hAnsiTheme="minorHAnsi" w:cstheme="minorHAnsi"/>
          <w:szCs w:val="24"/>
          <w:lang w:val="de-DE"/>
        </w:rPr>
      </w:pPr>
      <w:r w:rsidRPr="006151F5">
        <w:rPr>
          <w:rFonts w:asciiTheme="minorHAnsi" w:hAnsiTheme="minorHAnsi" w:cstheme="minorHAnsi"/>
          <w:szCs w:val="24"/>
          <w:lang w:val="de-DE"/>
        </w:rPr>
        <w:t xml:space="preserve">Durch ihre erhöhte Beweiswirkung und sofortige Vollstreckbarkeit bzw. Vollstreckungsfähigkeit bewirken notarielle Urkunden Rechtssicherheit. Rechtssicherheit ist die Grundlage für Investitionen und fördert so das Wirtschaftswachstum. </w:t>
      </w:r>
    </w:p>
    <w:p w:rsidR="00BF0C77" w:rsidRPr="00287997" w:rsidRDefault="00B27CB8" w:rsidP="006151F5">
      <w:pPr>
        <w:numPr>
          <w:ilvl w:val="2"/>
          <w:numId w:val="4"/>
        </w:numPr>
        <w:spacing w:after="120" w:line="320" w:lineRule="exact"/>
        <w:ind w:left="1134" w:hanging="425"/>
        <w:jc w:val="both"/>
        <w:rPr>
          <w:rFonts w:asciiTheme="minorHAnsi" w:hAnsiTheme="minorHAnsi" w:cstheme="minorHAnsi"/>
          <w:szCs w:val="24"/>
          <w:lang w:val="de-DE"/>
        </w:rPr>
      </w:pPr>
      <w:r w:rsidRPr="00287997">
        <w:rPr>
          <w:rFonts w:asciiTheme="minorHAnsi" w:hAnsiTheme="minorHAnsi" w:cstheme="minorHAnsi"/>
          <w:szCs w:val="24"/>
          <w:lang w:val="de-DE"/>
        </w:rPr>
        <w:t xml:space="preserve">Notaren kommt durch Mitwirkungspflichten eine wichtige Rolle bei der Bekämpfung der Geldwäsche, Terrorismusfinanzierung und weiterer Wirtschaftsstraftaten zu. </w:t>
      </w:r>
    </w:p>
    <w:p w:rsidR="00BF0C77" w:rsidRDefault="00B27CB8" w:rsidP="006151F5">
      <w:pPr>
        <w:numPr>
          <w:ilvl w:val="2"/>
          <w:numId w:val="4"/>
        </w:numPr>
        <w:spacing w:after="120" w:line="320" w:lineRule="exact"/>
        <w:ind w:left="1134" w:hanging="425"/>
        <w:jc w:val="both"/>
        <w:rPr>
          <w:rFonts w:asciiTheme="minorHAnsi" w:hAnsiTheme="minorHAnsi" w:cstheme="minorHAnsi"/>
          <w:szCs w:val="24"/>
          <w:lang w:val="de-DE"/>
        </w:rPr>
      </w:pPr>
      <w:r w:rsidRPr="006151F5">
        <w:rPr>
          <w:rFonts w:asciiTheme="minorHAnsi" w:hAnsiTheme="minorHAnsi" w:cstheme="minorHAnsi"/>
          <w:szCs w:val="24"/>
          <w:lang w:val="de-DE"/>
        </w:rPr>
        <w:t xml:space="preserve">Durch Mitwirkungspflichten entlasten Notare den Staat bei der Steuererhebung und stellen die Besteuerung sicher.  </w:t>
      </w:r>
    </w:p>
    <w:p w:rsidR="006151F5" w:rsidRPr="006151F5" w:rsidRDefault="006151F5" w:rsidP="006151F5">
      <w:pPr>
        <w:spacing w:after="120" w:line="320" w:lineRule="exact"/>
        <w:ind w:left="828" w:firstLine="0"/>
        <w:jc w:val="both"/>
        <w:rPr>
          <w:rFonts w:asciiTheme="minorHAnsi" w:hAnsiTheme="minorHAnsi" w:cstheme="minorHAnsi"/>
          <w:szCs w:val="24"/>
          <w:lang w:val="de-DE"/>
        </w:rPr>
      </w:pPr>
    </w:p>
    <w:p w:rsidR="00BF0C77" w:rsidRPr="00287997" w:rsidRDefault="00B27CB8" w:rsidP="00287997">
      <w:pPr>
        <w:spacing w:after="120" w:line="320" w:lineRule="exact"/>
        <w:ind w:left="730"/>
        <w:jc w:val="both"/>
        <w:rPr>
          <w:rFonts w:asciiTheme="minorHAnsi" w:hAnsiTheme="minorHAnsi" w:cstheme="minorHAnsi"/>
          <w:szCs w:val="24"/>
          <w:lang w:val="de-DE"/>
        </w:rPr>
      </w:pPr>
      <w:r w:rsidRPr="00287997">
        <w:rPr>
          <w:rFonts w:asciiTheme="minorHAnsi" w:hAnsiTheme="minorHAnsi" w:cstheme="minorHAnsi"/>
          <w:b/>
          <w:szCs w:val="24"/>
          <w:lang w:val="de-DE"/>
        </w:rPr>
        <w:lastRenderedPageBreak/>
        <w:t xml:space="preserve">Der 29. Kongress der Internationalen Union des Notariats empfiehlt daher: </w:t>
      </w:r>
    </w:p>
    <w:p w:rsidR="00BF0C77" w:rsidRPr="00816A05" w:rsidRDefault="00B27CB8" w:rsidP="00816A05">
      <w:pPr>
        <w:tabs>
          <w:tab w:val="left" w:pos="8364"/>
        </w:tabs>
        <w:spacing w:after="120" w:line="320" w:lineRule="exact"/>
        <w:ind w:left="709" w:right="-7" w:firstLine="0"/>
        <w:jc w:val="both"/>
        <w:rPr>
          <w:rFonts w:asciiTheme="minorHAnsi" w:hAnsiTheme="minorHAnsi" w:cstheme="minorHAnsi"/>
          <w:b/>
          <w:szCs w:val="24"/>
          <w:lang w:val="de-DE"/>
        </w:rPr>
      </w:pPr>
      <w:r w:rsidRPr="00287997">
        <w:rPr>
          <w:rFonts w:asciiTheme="minorHAnsi" w:hAnsiTheme="minorHAnsi" w:cstheme="minorHAnsi"/>
          <w:b/>
          <w:szCs w:val="24"/>
          <w:lang w:val="de-DE"/>
        </w:rPr>
        <w:t xml:space="preserve">Folgende Funktion der Notare sollten weltweit </w:t>
      </w:r>
      <w:proofErr w:type="gramStart"/>
      <w:r w:rsidRPr="00287997">
        <w:rPr>
          <w:rFonts w:asciiTheme="minorHAnsi" w:hAnsiTheme="minorHAnsi" w:cstheme="minorHAnsi"/>
          <w:b/>
          <w:szCs w:val="24"/>
          <w:lang w:val="de-DE"/>
        </w:rPr>
        <w:t>weiter entwickelt</w:t>
      </w:r>
      <w:proofErr w:type="gramEnd"/>
      <w:r w:rsidRPr="00287997">
        <w:rPr>
          <w:rFonts w:asciiTheme="minorHAnsi" w:hAnsiTheme="minorHAnsi" w:cstheme="minorHAnsi"/>
          <w:b/>
          <w:szCs w:val="24"/>
          <w:lang w:val="de-DE"/>
        </w:rPr>
        <w:t xml:space="preserve"> und da, wo sie fehlen, eingeführt werden: </w:t>
      </w:r>
    </w:p>
    <w:p w:rsidR="00816A05" w:rsidRPr="00816A05" w:rsidRDefault="00816A05" w:rsidP="00816A05">
      <w:pPr>
        <w:numPr>
          <w:ilvl w:val="1"/>
          <w:numId w:val="1"/>
        </w:numPr>
        <w:spacing w:after="120" w:line="320" w:lineRule="exact"/>
        <w:ind w:left="1134" w:hanging="425"/>
        <w:jc w:val="both"/>
        <w:rPr>
          <w:rFonts w:asciiTheme="minorHAnsi" w:hAnsiTheme="minorHAnsi" w:cstheme="minorHAnsi"/>
          <w:szCs w:val="24"/>
          <w:lang w:val="de-DE"/>
        </w:rPr>
      </w:pPr>
      <w:r w:rsidRPr="00287997">
        <w:rPr>
          <w:rFonts w:asciiTheme="minorHAnsi" w:hAnsiTheme="minorHAnsi" w:cstheme="minorHAnsi"/>
          <w:b/>
          <w:szCs w:val="24"/>
          <w:lang w:val="de-DE"/>
        </w:rPr>
        <w:t>Bündelung von Verfahrensschritten,</w:t>
      </w:r>
    </w:p>
    <w:p w:rsidR="00BF0C77" w:rsidRPr="00287997" w:rsidRDefault="00B27CB8" w:rsidP="006151F5">
      <w:pPr>
        <w:numPr>
          <w:ilvl w:val="1"/>
          <w:numId w:val="1"/>
        </w:numPr>
        <w:spacing w:after="120" w:line="320" w:lineRule="exact"/>
        <w:ind w:left="1134" w:hanging="425"/>
        <w:jc w:val="both"/>
        <w:rPr>
          <w:rFonts w:asciiTheme="minorHAnsi" w:hAnsiTheme="minorHAnsi" w:cstheme="minorHAnsi"/>
          <w:szCs w:val="24"/>
          <w:lang w:val="de-DE"/>
        </w:rPr>
      </w:pPr>
      <w:r w:rsidRPr="00287997">
        <w:rPr>
          <w:rFonts w:asciiTheme="minorHAnsi" w:hAnsiTheme="minorHAnsi" w:cstheme="minorHAnsi"/>
          <w:b/>
          <w:szCs w:val="24"/>
          <w:lang w:val="de-DE"/>
        </w:rPr>
        <w:t xml:space="preserve">Schaffung der Voraussetzungen für inhaltlich richtige und damit zuverlässige, mit öffentlichem Glauben ausgestattete Register, </w:t>
      </w:r>
    </w:p>
    <w:p w:rsidR="00BF0C77" w:rsidRPr="00287997" w:rsidRDefault="00B27CB8" w:rsidP="006151F5">
      <w:pPr>
        <w:numPr>
          <w:ilvl w:val="1"/>
          <w:numId w:val="1"/>
        </w:numPr>
        <w:spacing w:after="120" w:line="320" w:lineRule="exact"/>
        <w:ind w:left="1134" w:hanging="425"/>
        <w:jc w:val="both"/>
        <w:rPr>
          <w:rFonts w:asciiTheme="minorHAnsi" w:hAnsiTheme="minorHAnsi" w:cstheme="minorHAnsi"/>
          <w:szCs w:val="24"/>
          <w:lang w:val="de-DE"/>
        </w:rPr>
      </w:pPr>
      <w:r w:rsidRPr="00287997">
        <w:rPr>
          <w:rFonts w:asciiTheme="minorHAnsi" w:hAnsiTheme="minorHAnsi" w:cstheme="minorHAnsi"/>
          <w:b/>
          <w:szCs w:val="24"/>
          <w:lang w:val="de-DE"/>
        </w:rPr>
        <w:t xml:space="preserve">Entlastung der streitigen Gerichtsbarkeit und anderer öffentlicher Stellen wie Finanzämter und Register, aber auch der Strafverfolgungsbehörden </w:t>
      </w:r>
    </w:p>
    <w:p w:rsidR="00BF0C77" w:rsidRPr="00287997" w:rsidRDefault="00B27CB8" w:rsidP="006151F5">
      <w:pPr>
        <w:numPr>
          <w:ilvl w:val="1"/>
          <w:numId w:val="1"/>
        </w:numPr>
        <w:spacing w:after="360" w:line="320" w:lineRule="exact"/>
        <w:ind w:left="1134" w:hanging="425"/>
        <w:jc w:val="both"/>
        <w:rPr>
          <w:rFonts w:asciiTheme="minorHAnsi" w:hAnsiTheme="minorHAnsi" w:cstheme="minorHAnsi"/>
          <w:szCs w:val="24"/>
          <w:lang w:val="de-DE"/>
        </w:rPr>
      </w:pPr>
      <w:r w:rsidRPr="00287997">
        <w:rPr>
          <w:rFonts w:asciiTheme="minorHAnsi" w:hAnsiTheme="minorHAnsi" w:cstheme="minorHAnsi"/>
          <w:b/>
          <w:szCs w:val="24"/>
          <w:lang w:val="de-DE"/>
        </w:rPr>
        <w:t xml:space="preserve">Schaffung von Rechtssicherheit durch eine erhöhte Beweiswirkung und Vollstreckbarkeit notarieller Urkunden. </w:t>
      </w:r>
    </w:p>
    <w:p w:rsidR="00BF0C77" w:rsidRPr="00287997" w:rsidRDefault="00B27CB8" w:rsidP="00287997">
      <w:pPr>
        <w:numPr>
          <w:ilvl w:val="0"/>
          <w:numId w:val="1"/>
        </w:numPr>
        <w:spacing w:after="120" w:line="320" w:lineRule="exact"/>
        <w:ind w:hanging="360"/>
        <w:jc w:val="both"/>
        <w:rPr>
          <w:rFonts w:asciiTheme="minorHAnsi" w:hAnsiTheme="minorHAnsi" w:cstheme="minorHAnsi"/>
          <w:szCs w:val="24"/>
          <w:lang w:val="de-DE"/>
        </w:rPr>
      </w:pPr>
      <w:r w:rsidRPr="00287997">
        <w:rPr>
          <w:rFonts w:asciiTheme="minorHAnsi" w:hAnsiTheme="minorHAnsi" w:cstheme="minorHAnsi"/>
          <w:b/>
          <w:szCs w:val="24"/>
          <w:lang w:val="de-DE"/>
        </w:rPr>
        <w:t xml:space="preserve">Die Qualität der notariellen Amtsausübung sowie die Funktion der notariellen Tätigkeit werden durch gesetzliche Regelungen zum Berufszugang, zur Berufsausübung sowie zur Ausgestaltung des Beurkundungsverfahrens gewährleistet. </w:t>
      </w:r>
    </w:p>
    <w:p w:rsidR="00BF0C77" w:rsidRPr="00287997" w:rsidRDefault="00B27CB8" w:rsidP="006151F5">
      <w:pPr>
        <w:numPr>
          <w:ilvl w:val="1"/>
          <w:numId w:val="5"/>
        </w:numPr>
        <w:spacing w:after="120" w:line="320" w:lineRule="exact"/>
        <w:ind w:left="1134" w:hanging="425"/>
        <w:jc w:val="both"/>
        <w:rPr>
          <w:rFonts w:asciiTheme="minorHAnsi" w:hAnsiTheme="minorHAnsi" w:cstheme="minorHAnsi"/>
          <w:szCs w:val="24"/>
          <w:lang w:val="de-DE"/>
        </w:rPr>
      </w:pPr>
      <w:r w:rsidRPr="00287997">
        <w:rPr>
          <w:rFonts w:asciiTheme="minorHAnsi" w:hAnsiTheme="minorHAnsi" w:cstheme="minorHAnsi"/>
          <w:szCs w:val="24"/>
          <w:lang w:val="de-DE"/>
        </w:rPr>
        <w:t xml:space="preserve">Da Notare integraler Bestandteil der vorsorgenden Rechtspflege bzw. freiwilligen Gerichtsbarkeit sind und staatliche Aufgaben wahrnehmen, müssen die Berufsregelungen öffentlich-rechtlich normiert sein. </w:t>
      </w:r>
    </w:p>
    <w:p w:rsidR="00BF0C77" w:rsidRPr="00287997" w:rsidRDefault="00B27CB8" w:rsidP="006151F5">
      <w:pPr>
        <w:numPr>
          <w:ilvl w:val="1"/>
          <w:numId w:val="5"/>
        </w:numPr>
        <w:spacing w:after="120" w:line="320" w:lineRule="exact"/>
        <w:ind w:left="1134" w:hanging="425"/>
        <w:jc w:val="both"/>
        <w:rPr>
          <w:rFonts w:asciiTheme="minorHAnsi" w:hAnsiTheme="minorHAnsi" w:cstheme="minorHAnsi"/>
          <w:szCs w:val="24"/>
          <w:lang w:val="de-DE"/>
        </w:rPr>
      </w:pPr>
      <w:r w:rsidRPr="00287997">
        <w:rPr>
          <w:rFonts w:asciiTheme="minorHAnsi" w:hAnsiTheme="minorHAnsi" w:cstheme="minorHAnsi"/>
          <w:szCs w:val="24"/>
          <w:lang w:val="de-DE"/>
        </w:rPr>
        <w:t xml:space="preserve">Um die richternahen Funktionen als Filter für die öffentlichen Register und Rechtssicherheit für die rechtssuchende Bevölkerung gewährleisten zu können, bedarf es eines gesetzlich geregelten Beurkundungsverfahrens. </w:t>
      </w:r>
    </w:p>
    <w:p w:rsidR="00BF0C77" w:rsidRPr="00287997" w:rsidRDefault="00B27CB8" w:rsidP="006151F5">
      <w:pPr>
        <w:numPr>
          <w:ilvl w:val="1"/>
          <w:numId w:val="5"/>
        </w:numPr>
        <w:spacing w:after="120" w:line="320" w:lineRule="exact"/>
        <w:ind w:left="1134" w:hanging="425"/>
        <w:jc w:val="both"/>
        <w:rPr>
          <w:rFonts w:asciiTheme="minorHAnsi" w:hAnsiTheme="minorHAnsi" w:cstheme="minorHAnsi"/>
          <w:szCs w:val="24"/>
        </w:rPr>
      </w:pPr>
      <w:proofErr w:type="spellStart"/>
      <w:r w:rsidRPr="00287997">
        <w:rPr>
          <w:rFonts w:asciiTheme="minorHAnsi" w:hAnsiTheme="minorHAnsi" w:cstheme="minorHAnsi"/>
          <w:szCs w:val="24"/>
        </w:rPr>
        <w:t>Zur</w:t>
      </w:r>
      <w:proofErr w:type="spellEnd"/>
      <w:r w:rsidRPr="00287997">
        <w:rPr>
          <w:rFonts w:asciiTheme="minorHAnsi" w:hAnsiTheme="minorHAnsi" w:cstheme="minorHAnsi"/>
          <w:szCs w:val="24"/>
        </w:rPr>
        <w:t xml:space="preserve"> </w:t>
      </w:r>
      <w:proofErr w:type="spellStart"/>
      <w:r w:rsidRPr="00287997">
        <w:rPr>
          <w:rFonts w:asciiTheme="minorHAnsi" w:hAnsiTheme="minorHAnsi" w:cstheme="minorHAnsi"/>
          <w:szCs w:val="24"/>
        </w:rPr>
        <w:t>Gewährleistung</w:t>
      </w:r>
      <w:proofErr w:type="spellEnd"/>
      <w:r w:rsidRPr="00287997">
        <w:rPr>
          <w:rFonts w:asciiTheme="minorHAnsi" w:hAnsiTheme="minorHAnsi" w:cstheme="minorHAnsi"/>
          <w:szCs w:val="24"/>
        </w:rPr>
        <w:t xml:space="preserve"> von  </w:t>
      </w:r>
    </w:p>
    <w:p w:rsidR="00BF0C77" w:rsidRPr="00287997" w:rsidRDefault="00B27CB8" w:rsidP="006151F5">
      <w:pPr>
        <w:numPr>
          <w:ilvl w:val="2"/>
          <w:numId w:val="1"/>
        </w:numPr>
        <w:spacing w:after="60" w:line="320" w:lineRule="exact"/>
        <w:ind w:left="1655" w:hanging="215"/>
        <w:jc w:val="both"/>
        <w:rPr>
          <w:rFonts w:asciiTheme="minorHAnsi" w:hAnsiTheme="minorHAnsi" w:cstheme="minorHAnsi"/>
          <w:szCs w:val="24"/>
        </w:rPr>
      </w:pPr>
      <w:proofErr w:type="spellStart"/>
      <w:r w:rsidRPr="00287997">
        <w:rPr>
          <w:rFonts w:asciiTheme="minorHAnsi" w:hAnsiTheme="minorHAnsi" w:cstheme="minorHAnsi"/>
          <w:szCs w:val="24"/>
        </w:rPr>
        <w:t>Unabhängigkeit</w:t>
      </w:r>
      <w:proofErr w:type="spellEnd"/>
      <w:r w:rsidRPr="00287997">
        <w:rPr>
          <w:rFonts w:asciiTheme="minorHAnsi" w:hAnsiTheme="minorHAnsi" w:cstheme="minorHAnsi"/>
          <w:szCs w:val="24"/>
        </w:rPr>
        <w:t xml:space="preserve"> </w:t>
      </w:r>
    </w:p>
    <w:p w:rsidR="00BF0C77" w:rsidRPr="00287997" w:rsidRDefault="00B27CB8" w:rsidP="006151F5">
      <w:pPr>
        <w:numPr>
          <w:ilvl w:val="2"/>
          <w:numId w:val="1"/>
        </w:numPr>
        <w:spacing w:after="60" w:line="320" w:lineRule="exact"/>
        <w:ind w:left="1655" w:hanging="215"/>
        <w:jc w:val="both"/>
        <w:rPr>
          <w:rFonts w:asciiTheme="minorHAnsi" w:hAnsiTheme="minorHAnsi" w:cstheme="minorHAnsi"/>
          <w:szCs w:val="24"/>
        </w:rPr>
      </w:pPr>
      <w:proofErr w:type="spellStart"/>
      <w:r w:rsidRPr="00287997">
        <w:rPr>
          <w:rFonts w:asciiTheme="minorHAnsi" w:hAnsiTheme="minorHAnsi" w:cstheme="minorHAnsi"/>
          <w:szCs w:val="24"/>
        </w:rPr>
        <w:t>Unparteilichkeit</w:t>
      </w:r>
      <w:proofErr w:type="spellEnd"/>
      <w:r w:rsidRPr="00287997">
        <w:rPr>
          <w:rFonts w:asciiTheme="minorHAnsi" w:hAnsiTheme="minorHAnsi" w:cstheme="minorHAnsi"/>
          <w:szCs w:val="24"/>
        </w:rPr>
        <w:t xml:space="preserve"> </w:t>
      </w:r>
    </w:p>
    <w:p w:rsidR="00BF0C77" w:rsidRPr="00287997" w:rsidRDefault="00B27CB8" w:rsidP="006151F5">
      <w:pPr>
        <w:numPr>
          <w:ilvl w:val="2"/>
          <w:numId w:val="1"/>
        </w:numPr>
        <w:spacing w:after="60" w:line="320" w:lineRule="exact"/>
        <w:ind w:left="1655" w:hanging="215"/>
        <w:jc w:val="both"/>
        <w:rPr>
          <w:rFonts w:asciiTheme="minorHAnsi" w:hAnsiTheme="minorHAnsi" w:cstheme="minorHAnsi"/>
          <w:szCs w:val="24"/>
          <w:lang w:val="de-DE"/>
        </w:rPr>
      </w:pPr>
      <w:r w:rsidRPr="00287997">
        <w:rPr>
          <w:rFonts w:asciiTheme="minorHAnsi" w:hAnsiTheme="minorHAnsi" w:cstheme="minorHAnsi"/>
          <w:szCs w:val="24"/>
          <w:lang w:val="de-DE"/>
        </w:rPr>
        <w:t xml:space="preserve">Zugang zum Recht für die Bürger </w:t>
      </w:r>
    </w:p>
    <w:p w:rsidR="00BF0C77" w:rsidRPr="00287997" w:rsidRDefault="00B27CB8" w:rsidP="006151F5">
      <w:pPr>
        <w:numPr>
          <w:ilvl w:val="2"/>
          <w:numId w:val="1"/>
        </w:numPr>
        <w:spacing w:after="60" w:line="320" w:lineRule="exact"/>
        <w:ind w:left="1655" w:hanging="215"/>
        <w:jc w:val="both"/>
        <w:rPr>
          <w:rFonts w:asciiTheme="minorHAnsi" w:hAnsiTheme="minorHAnsi" w:cstheme="minorHAnsi"/>
          <w:szCs w:val="24"/>
          <w:lang w:val="de-DE"/>
        </w:rPr>
      </w:pPr>
      <w:r w:rsidRPr="00287997">
        <w:rPr>
          <w:rFonts w:asciiTheme="minorHAnsi" w:hAnsiTheme="minorHAnsi" w:cstheme="minorHAnsi"/>
          <w:szCs w:val="24"/>
          <w:lang w:val="de-DE"/>
        </w:rPr>
        <w:t xml:space="preserve">einer rechtlichen Beratung auf höchstem Niveau und </w:t>
      </w:r>
    </w:p>
    <w:p w:rsidR="00492127" w:rsidRDefault="00B27CB8" w:rsidP="006151F5">
      <w:pPr>
        <w:numPr>
          <w:ilvl w:val="2"/>
          <w:numId w:val="1"/>
        </w:numPr>
        <w:spacing w:after="60" w:line="320" w:lineRule="exact"/>
        <w:ind w:left="1655" w:hanging="215"/>
        <w:jc w:val="both"/>
        <w:rPr>
          <w:rFonts w:asciiTheme="minorHAnsi" w:hAnsiTheme="minorHAnsi" w:cstheme="minorHAnsi"/>
          <w:szCs w:val="24"/>
        </w:rPr>
      </w:pPr>
      <w:proofErr w:type="spellStart"/>
      <w:r w:rsidRPr="00287997">
        <w:rPr>
          <w:rFonts w:asciiTheme="minorHAnsi" w:hAnsiTheme="minorHAnsi" w:cstheme="minorHAnsi"/>
          <w:szCs w:val="24"/>
        </w:rPr>
        <w:t>eines</w:t>
      </w:r>
      <w:proofErr w:type="spellEnd"/>
      <w:r w:rsidRPr="00287997">
        <w:rPr>
          <w:rFonts w:asciiTheme="minorHAnsi" w:hAnsiTheme="minorHAnsi" w:cstheme="minorHAnsi"/>
          <w:szCs w:val="24"/>
        </w:rPr>
        <w:t xml:space="preserve"> </w:t>
      </w:r>
      <w:proofErr w:type="spellStart"/>
      <w:r w:rsidRPr="00287997">
        <w:rPr>
          <w:rFonts w:asciiTheme="minorHAnsi" w:hAnsiTheme="minorHAnsi" w:cstheme="minorHAnsi"/>
          <w:szCs w:val="24"/>
        </w:rPr>
        <w:t>geregelten</w:t>
      </w:r>
      <w:proofErr w:type="spellEnd"/>
      <w:r w:rsidRPr="00287997">
        <w:rPr>
          <w:rFonts w:asciiTheme="minorHAnsi" w:hAnsiTheme="minorHAnsi" w:cstheme="minorHAnsi"/>
          <w:szCs w:val="24"/>
        </w:rPr>
        <w:t xml:space="preserve"> </w:t>
      </w:r>
      <w:proofErr w:type="spellStart"/>
      <w:r w:rsidRPr="00287997">
        <w:rPr>
          <w:rFonts w:asciiTheme="minorHAnsi" w:hAnsiTheme="minorHAnsi" w:cstheme="minorHAnsi"/>
          <w:szCs w:val="24"/>
        </w:rPr>
        <w:t>Verfahrens</w:t>
      </w:r>
      <w:proofErr w:type="spellEnd"/>
      <w:r w:rsidRPr="00287997">
        <w:rPr>
          <w:rFonts w:asciiTheme="minorHAnsi" w:hAnsiTheme="minorHAnsi" w:cstheme="minorHAnsi"/>
          <w:szCs w:val="24"/>
        </w:rPr>
        <w:t xml:space="preserve"> </w:t>
      </w:r>
    </w:p>
    <w:p w:rsidR="00BF0C77" w:rsidRPr="00287997" w:rsidRDefault="00B27CB8" w:rsidP="00492127">
      <w:pPr>
        <w:spacing w:after="60" w:line="320" w:lineRule="exact"/>
        <w:ind w:left="1655" w:firstLine="0"/>
        <w:jc w:val="both"/>
        <w:rPr>
          <w:rFonts w:asciiTheme="minorHAnsi" w:hAnsiTheme="minorHAnsi" w:cstheme="minorHAnsi"/>
          <w:szCs w:val="24"/>
        </w:rPr>
      </w:pPr>
      <w:proofErr w:type="spellStart"/>
      <w:r w:rsidRPr="00287997">
        <w:rPr>
          <w:rFonts w:asciiTheme="minorHAnsi" w:hAnsiTheme="minorHAnsi" w:cstheme="minorHAnsi"/>
          <w:szCs w:val="24"/>
        </w:rPr>
        <w:t>bedarf</w:t>
      </w:r>
      <w:proofErr w:type="spellEnd"/>
      <w:r w:rsidRPr="00287997">
        <w:rPr>
          <w:rFonts w:asciiTheme="minorHAnsi" w:hAnsiTheme="minorHAnsi" w:cstheme="minorHAnsi"/>
          <w:szCs w:val="24"/>
        </w:rPr>
        <w:t xml:space="preserve"> es  </w:t>
      </w:r>
    </w:p>
    <w:p w:rsidR="00BF0C77" w:rsidRPr="00287997" w:rsidRDefault="00B27CB8" w:rsidP="00492127">
      <w:pPr>
        <w:numPr>
          <w:ilvl w:val="2"/>
          <w:numId w:val="1"/>
        </w:numPr>
        <w:spacing w:after="60" w:line="320" w:lineRule="exact"/>
        <w:ind w:left="1655" w:hanging="215"/>
        <w:rPr>
          <w:rFonts w:asciiTheme="minorHAnsi" w:hAnsiTheme="minorHAnsi" w:cstheme="minorHAnsi"/>
          <w:szCs w:val="24"/>
          <w:lang w:val="de-DE"/>
        </w:rPr>
      </w:pPr>
      <w:r w:rsidRPr="00287997">
        <w:rPr>
          <w:rFonts w:asciiTheme="minorHAnsi" w:hAnsiTheme="minorHAnsi" w:cstheme="minorHAnsi"/>
          <w:szCs w:val="24"/>
          <w:lang w:val="de-DE"/>
        </w:rPr>
        <w:t xml:space="preserve">eines öffentlich-rechtlich ausgestalteten Ernennungs- und Auswahlverfahrens </w:t>
      </w:r>
    </w:p>
    <w:p w:rsidR="00BF0C77" w:rsidRPr="00287997" w:rsidRDefault="00B27CB8" w:rsidP="006151F5">
      <w:pPr>
        <w:numPr>
          <w:ilvl w:val="2"/>
          <w:numId w:val="1"/>
        </w:numPr>
        <w:spacing w:after="60" w:line="320" w:lineRule="exact"/>
        <w:ind w:left="1655" w:hanging="215"/>
        <w:jc w:val="both"/>
        <w:rPr>
          <w:rFonts w:asciiTheme="minorHAnsi" w:hAnsiTheme="minorHAnsi" w:cstheme="minorHAnsi"/>
          <w:szCs w:val="24"/>
        </w:rPr>
      </w:pPr>
      <w:proofErr w:type="spellStart"/>
      <w:r w:rsidRPr="00287997">
        <w:rPr>
          <w:rFonts w:asciiTheme="minorHAnsi" w:hAnsiTheme="minorHAnsi" w:cstheme="minorHAnsi"/>
          <w:szCs w:val="24"/>
        </w:rPr>
        <w:t>einer</w:t>
      </w:r>
      <w:proofErr w:type="spellEnd"/>
      <w:r w:rsidRPr="00287997">
        <w:rPr>
          <w:rFonts w:asciiTheme="minorHAnsi" w:hAnsiTheme="minorHAnsi" w:cstheme="minorHAnsi"/>
          <w:szCs w:val="24"/>
        </w:rPr>
        <w:t xml:space="preserve"> </w:t>
      </w:r>
      <w:proofErr w:type="spellStart"/>
      <w:r w:rsidRPr="00287997">
        <w:rPr>
          <w:rFonts w:asciiTheme="minorHAnsi" w:hAnsiTheme="minorHAnsi" w:cstheme="minorHAnsi"/>
          <w:szCs w:val="24"/>
        </w:rPr>
        <w:t>staatlichen</w:t>
      </w:r>
      <w:proofErr w:type="spellEnd"/>
      <w:r w:rsidRPr="00287997">
        <w:rPr>
          <w:rFonts w:asciiTheme="minorHAnsi" w:hAnsiTheme="minorHAnsi" w:cstheme="minorHAnsi"/>
          <w:szCs w:val="24"/>
        </w:rPr>
        <w:t xml:space="preserve"> </w:t>
      </w:r>
      <w:proofErr w:type="spellStart"/>
      <w:r w:rsidRPr="00287997">
        <w:rPr>
          <w:rFonts w:asciiTheme="minorHAnsi" w:hAnsiTheme="minorHAnsi" w:cstheme="minorHAnsi"/>
          <w:szCs w:val="24"/>
        </w:rPr>
        <w:t>Dienstaufsicht</w:t>
      </w:r>
      <w:proofErr w:type="spellEnd"/>
      <w:r w:rsidRPr="00287997">
        <w:rPr>
          <w:rFonts w:asciiTheme="minorHAnsi" w:hAnsiTheme="minorHAnsi" w:cstheme="minorHAnsi"/>
          <w:szCs w:val="24"/>
        </w:rPr>
        <w:t xml:space="preserve"> </w:t>
      </w:r>
    </w:p>
    <w:p w:rsidR="00BF0C77" w:rsidRPr="00287997" w:rsidRDefault="00B27CB8" w:rsidP="006151F5">
      <w:pPr>
        <w:numPr>
          <w:ilvl w:val="2"/>
          <w:numId w:val="1"/>
        </w:numPr>
        <w:spacing w:after="60" w:line="320" w:lineRule="exact"/>
        <w:ind w:left="1655" w:hanging="215"/>
        <w:jc w:val="both"/>
        <w:rPr>
          <w:rFonts w:asciiTheme="minorHAnsi" w:hAnsiTheme="minorHAnsi" w:cstheme="minorHAnsi"/>
          <w:szCs w:val="24"/>
        </w:rPr>
      </w:pPr>
      <w:proofErr w:type="spellStart"/>
      <w:r w:rsidRPr="00287997">
        <w:rPr>
          <w:rFonts w:asciiTheme="minorHAnsi" w:hAnsiTheme="minorHAnsi" w:cstheme="minorHAnsi"/>
          <w:szCs w:val="24"/>
        </w:rPr>
        <w:t>eines</w:t>
      </w:r>
      <w:proofErr w:type="spellEnd"/>
      <w:r w:rsidRPr="00287997">
        <w:rPr>
          <w:rFonts w:asciiTheme="minorHAnsi" w:hAnsiTheme="minorHAnsi" w:cstheme="minorHAnsi"/>
          <w:szCs w:val="24"/>
        </w:rPr>
        <w:t xml:space="preserve"> </w:t>
      </w:r>
      <w:proofErr w:type="spellStart"/>
      <w:r w:rsidRPr="00287997">
        <w:rPr>
          <w:rFonts w:asciiTheme="minorHAnsi" w:hAnsiTheme="minorHAnsi" w:cstheme="minorHAnsi"/>
          <w:szCs w:val="24"/>
        </w:rPr>
        <w:t>gesetzlich</w:t>
      </w:r>
      <w:proofErr w:type="spellEnd"/>
      <w:r w:rsidRPr="00287997">
        <w:rPr>
          <w:rFonts w:asciiTheme="minorHAnsi" w:hAnsiTheme="minorHAnsi" w:cstheme="minorHAnsi"/>
          <w:szCs w:val="24"/>
        </w:rPr>
        <w:t xml:space="preserve"> </w:t>
      </w:r>
      <w:proofErr w:type="spellStart"/>
      <w:r w:rsidRPr="00287997">
        <w:rPr>
          <w:rFonts w:asciiTheme="minorHAnsi" w:hAnsiTheme="minorHAnsi" w:cstheme="minorHAnsi"/>
          <w:szCs w:val="24"/>
        </w:rPr>
        <w:t>normierten</w:t>
      </w:r>
      <w:proofErr w:type="spellEnd"/>
      <w:r w:rsidRPr="00287997">
        <w:rPr>
          <w:rFonts w:asciiTheme="minorHAnsi" w:hAnsiTheme="minorHAnsi" w:cstheme="minorHAnsi"/>
          <w:szCs w:val="24"/>
        </w:rPr>
        <w:t xml:space="preserve"> </w:t>
      </w:r>
      <w:proofErr w:type="spellStart"/>
      <w:r w:rsidRPr="00287997">
        <w:rPr>
          <w:rFonts w:asciiTheme="minorHAnsi" w:hAnsiTheme="minorHAnsi" w:cstheme="minorHAnsi"/>
          <w:szCs w:val="24"/>
        </w:rPr>
        <w:t>Gebührensystems</w:t>
      </w:r>
      <w:proofErr w:type="spellEnd"/>
      <w:r w:rsidRPr="00287997">
        <w:rPr>
          <w:rFonts w:asciiTheme="minorHAnsi" w:hAnsiTheme="minorHAnsi" w:cstheme="minorHAnsi"/>
          <w:szCs w:val="24"/>
        </w:rPr>
        <w:t xml:space="preserve"> </w:t>
      </w:r>
    </w:p>
    <w:p w:rsidR="009B08CD" w:rsidRDefault="00B27CB8" w:rsidP="00287997">
      <w:pPr>
        <w:numPr>
          <w:ilvl w:val="2"/>
          <w:numId w:val="1"/>
        </w:numPr>
        <w:spacing w:after="120" w:line="320" w:lineRule="exact"/>
        <w:ind w:hanging="214"/>
        <w:jc w:val="both"/>
        <w:rPr>
          <w:rFonts w:asciiTheme="minorHAnsi" w:hAnsiTheme="minorHAnsi" w:cstheme="minorHAnsi"/>
          <w:szCs w:val="24"/>
          <w:lang w:val="de-DE"/>
        </w:rPr>
      </w:pPr>
      <w:r w:rsidRPr="00287997">
        <w:rPr>
          <w:rFonts w:asciiTheme="minorHAnsi" w:hAnsiTheme="minorHAnsi" w:cstheme="minorHAnsi"/>
          <w:szCs w:val="24"/>
          <w:lang w:val="de-DE"/>
        </w:rPr>
        <w:t xml:space="preserve">einer Begrenzung der Notarstellen und </w:t>
      </w:r>
    </w:p>
    <w:p w:rsidR="00BF0C77" w:rsidRPr="00287997" w:rsidRDefault="00B27CB8" w:rsidP="00287997">
      <w:pPr>
        <w:numPr>
          <w:ilvl w:val="2"/>
          <w:numId w:val="1"/>
        </w:numPr>
        <w:spacing w:after="120" w:line="320" w:lineRule="exact"/>
        <w:ind w:hanging="214"/>
        <w:jc w:val="both"/>
        <w:rPr>
          <w:rFonts w:asciiTheme="minorHAnsi" w:hAnsiTheme="minorHAnsi" w:cstheme="minorHAnsi"/>
          <w:szCs w:val="24"/>
          <w:lang w:val="de-DE"/>
        </w:rPr>
      </w:pPr>
      <w:r w:rsidRPr="00287997">
        <w:rPr>
          <w:rFonts w:asciiTheme="minorHAnsi" w:hAnsiTheme="minorHAnsi" w:cstheme="minorHAnsi"/>
          <w:szCs w:val="24"/>
          <w:lang w:val="de-DE"/>
        </w:rPr>
        <w:t xml:space="preserve">einer Beurkundungsverpflichtung. </w:t>
      </w:r>
    </w:p>
    <w:p w:rsidR="00BF0C77" w:rsidRPr="00287997" w:rsidRDefault="006151F5" w:rsidP="009B08CD">
      <w:pPr>
        <w:spacing w:after="360" w:line="320" w:lineRule="exact"/>
        <w:ind w:left="1134" w:hanging="425"/>
        <w:jc w:val="both"/>
        <w:rPr>
          <w:rFonts w:asciiTheme="minorHAnsi" w:hAnsiTheme="minorHAnsi" w:cstheme="minorHAnsi"/>
          <w:szCs w:val="24"/>
          <w:lang w:val="de-DE"/>
        </w:rPr>
      </w:pPr>
      <w:r>
        <w:rPr>
          <w:rFonts w:asciiTheme="minorHAnsi" w:hAnsiTheme="minorHAnsi" w:cstheme="minorHAnsi"/>
          <w:szCs w:val="24"/>
          <w:lang w:val="de-DE"/>
        </w:rPr>
        <w:lastRenderedPageBreak/>
        <w:t>d.</w:t>
      </w:r>
      <w:r>
        <w:rPr>
          <w:rFonts w:asciiTheme="minorHAnsi" w:hAnsiTheme="minorHAnsi" w:cstheme="minorHAnsi"/>
          <w:szCs w:val="24"/>
          <w:lang w:val="de-DE"/>
        </w:rPr>
        <w:tab/>
      </w:r>
      <w:r w:rsidR="00B27CB8" w:rsidRPr="00287997">
        <w:rPr>
          <w:rFonts w:asciiTheme="minorHAnsi" w:hAnsiTheme="minorHAnsi" w:cstheme="minorHAnsi"/>
          <w:szCs w:val="24"/>
          <w:lang w:val="de-DE"/>
        </w:rPr>
        <w:t xml:space="preserve">Notare müssen Rechtsgestalter und Betreuer sein: die Erforschung </w:t>
      </w:r>
      <w:proofErr w:type="gramStart"/>
      <w:r w:rsidR="00B27CB8" w:rsidRPr="00287997">
        <w:rPr>
          <w:rFonts w:asciiTheme="minorHAnsi" w:hAnsiTheme="minorHAnsi" w:cstheme="minorHAnsi"/>
          <w:szCs w:val="24"/>
          <w:lang w:val="de-DE"/>
        </w:rPr>
        <w:t>des wahren Willen</w:t>
      </w:r>
      <w:proofErr w:type="gramEnd"/>
      <w:r w:rsidR="00B27CB8" w:rsidRPr="00287997">
        <w:rPr>
          <w:rFonts w:asciiTheme="minorHAnsi" w:hAnsiTheme="minorHAnsi" w:cstheme="minorHAnsi"/>
          <w:szCs w:val="24"/>
          <w:lang w:val="de-DE"/>
        </w:rPr>
        <w:t xml:space="preserve"> der Beteiligten und die aktive Vertragsgestaltung sowie die Wahrung der Rechte der Verbraucher muss eine normierte Verpflichtung der Notare darstellen</w:t>
      </w:r>
      <w:r w:rsidR="00B27CB8" w:rsidRPr="00287997">
        <w:rPr>
          <w:rFonts w:asciiTheme="minorHAnsi" w:hAnsiTheme="minorHAnsi" w:cstheme="minorHAnsi"/>
          <w:i/>
          <w:szCs w:val="24"/>
          <w:lang w:val="de-DE"/>
        </w:rPr>
        <w:t>.</w:t>
      </w:r>
      <w:r w:rsidR="00B27CB8" w:rsidRPr="00287997">
        <w:rPr>
          <w:rFonts w:asciiTheme="minorHAnsi" w:hAnsiTheme="minorHAnsi" w:cstheme="minorHAnsi"/>
          <w:szCs w:val="24"/>
          <w:lang w:val="de-DE"/>
        </w:rPr>
        <w:t xml:space="preserve"> </w:t>
      </w:r>
    </w:p>
    <w:p w:rsidR="00BF0C77" w:rsidRPr="00287997" w:rsidRDefault="00B27CB8" w:rsidP="00287997">
      <w:pPr>
        <w:spacing w:after="120" w:line="320" w:lineRule="exact"/>
        <w:ind w:left="730"/>
        <w:jc w:val="both"/>
        <w:rPr>
          <w:rFonts w:asciiTheme="minorHAnsi" w:hAnsiTheme="minorHAnsi" w:cstheme="minorHAnsi"/>
          <w:szCs w:val="24"/>
          <w:lang w:val="de-DE"/>
        </w:rPr>
      </w:pPr>
      <w:r w:rsidRPr="00287997">
        <w:rPr>
          <w:rFonts w:asciiTheme="minorHAnsi" w:hAnsiTheme="minorHAnsi" w:cstheme="minorHAnsi"/>
          <w:b/>
          <w:szCs w:val="24"/>
          <w:lang w:val="de-DE"/>
        </w:rPr>
        <w:t xml:space="preserve">Der 29. Kongress der Internationalen Union des Notariats empfiehlt daher: </w:t>
      </w:r>
    </w:p>
    <w:p w:rsidR="00BF0C77" w:rsidRPr="00287997" w:rsidRDefault="00B27CB8" w:rsidP="006151F5">
      <w:pPr>
        <w:spacing w:after="120" w:line="320" w:lineRule="exact"/>
        <w:ind w:left="709"/>
        <w:jc w:val="both"/>
        <w:rPr>
          <w:rFonts w:asciiTheme="minorHAnsi" w:hAnsiTheme="minorHAnsi" w:cstheme="minorHAnsi"/>
          <w:szCs w:val="24"/>
          <w:lang w:val="de-DE"/>
        </w:rPr>
      </w:pPr>
      <w:r w:rsidRPr="00287997">
        <w:rPr>
          <w:rFonts w:asciiTheme="minorHAnsi" w:hAnsiTheme="minorHAnsi" w:cstheme="minorHAnsi"/>
          <w:b/>
          <w:szCs w:val="24"/>
          <w:lang w:val="de-DE"/>
        </w:rPr>
        <w:t xml:space="preserve">Die berufs- und standesrechtlichen Regelungen, wie z.B. </w:t>
      </w:r>
    </w:p>
    <w:p w:rsidR="006151F5" w:rsidRPr="006151F5" w:rsidRDefault="00B27CB8" w:rsidP="006151F5">
      <w:pPr>
        <w:numPr>
          <w:ilvl w:val="1"/>
          <w:numId w:val="1"/>
        </w:numPr>
        <w:spacing w:after="120" w:line="320" w:lineRule="exact"/>
        <w:ind w:left="1134" w:hanging="425"/>
        <w:jc w:val="both"/>
        <w:rPr>
          <w:rFonts w:asciiTheme="minorHAnsi" w:hAnsiTheme="minorHAnsi" w:cstheme="minorHAnsi"/>
          <w:szCs w:val="24"/>
          <w:lang w:val="de-DE"/>
        </w:rPr>
      </w:pPr>
      <w:r w:rsidRPr="00287997">
        <w:rPr>
          <w:rFonts w:asciiTheme="minorHAnsi" w:hAnsiTheme="minorHAnsi" w:cstheme="minorHAnsi"/>
          <w:b/>
          <w:szCs w:val="24"/>
          <w:lang w:val="de-DE"/>
        </w:rPr>
        <w:t>der Zugang zum Beruf sowie</w:t>
      </w:r>
    </w:p>
    <w:p w:rsidR="006151F5" w:rsidRPr="006151F5" w:rsidRDefault="00B27CB8" w:rsidP="006151F5">
      <w:pPr>
        <w:numPr>
          <w:ilvl w:val="1"/>
          <w:numId w:val="1"/>
        </w:numPr>
        <w:spacing w:after="0" w:line="320" w:lineRule="exact"/>
        <w:ind w:left="1134" w:hanging="425"/>
        <w:jc w:val="both"/>
        <w:rPr>
          <w:rFonts w:asciiTheme="minorHAnsi" w:hAnsiTheme="minorHAnsi" w:cstheme="minorHAnsi"/>
          <w:szCs w:val="24"/>
          <w:lang w:val="de-DE"/>
        </w:rPr>
      </w:pPr>
      <w:r w:rsidRPr="00287997">
        <w:rPr>
          <w:rFonts w:asciiTheme="minorHAnsi" w:hAnsiTheme="minorHAnsi" w:cstheme="minorHAnsi"/>
          <w:b/>
          <w:szCs w:val="24"/>
          <w:lang w:val="de-DE"/>
        </w:rPr>
        <w:t>die Berufsausübung des Notars</w:t>
      </w:r>
    </w:p>
    <w:p w:rsidR="006151F5" w:rsidRDefault="00B27CB8" w:rsidP="006151F5">
      <w:pPr>
        <w:spacing w:after="0" w:line="320" w:lineRule="exact"/>
        <w:ind w:left="1134" w:firstLine="0"/>
        <w:jc w:val="both"/>
        <w:rPr>
          <w:rFonts w:asciiTheme="minorHAnsi" w:hAnsiTheme="minorHAnsi" w:cstheme="minorHAnsi"/>
          <w:b/>
          <w:szCs w:val="24"/>
          <w:lang w:val="de-DE"/>
        </w:rPr>
      </w:pPr>
      <w:r w:rsidRPr="00287997">
        <w:rPr>
          <w:rFonts w:asciiTheme="minorHAnsi" w:hAnsiTheme="minorHAnsi" w:cstheme="minorHAnsi"/>
          <w:b/>
          <w:szCs w:val="24"/>
          <w:lang w:val="de-DE"/>
        </w:rPr>
        <w:t xml:space="preserve">und das Beurkundungsverfahren sind öffentlich-rechtlich zu regeln. </w:t>
      </w:r>
    </w:p>
    <w:p w:rsidR="00BF0C77" w:rsidRPr="00287997" w:rsidRDefault="00B27CB8" w:rsidP="006151F5">
      <w:pPr>
        <w:spacing w:after="360" w:line="320" w:lineRule="exact"/>
        <w:ind w:left="1134" w:firstLine="0"/>
        <w:jc w:val="both"/>
        <w:rPr>
          <w:rFonts w:asciiTheme="minorHAnsi" w:hAnsiTheme="minorHAnsi" w:cstheme="minorHAnsi"/>
          <w:szCs w:val="24"/>
          <w:lang w:val="de-DE"/>
        </w:rPr>
      </w:pPr>
      <w:r w:rsidRPr="00287997">
        <w:rPr>
          <w:rFonts w:asciiTheme="minorHAnsi" w:hAnsiTheme="minorHAnsi" w:cstheme="minorHAnsi"/>
          <w:b/>
          <w:szCs w:val="24"/>
          <w:lang w:val="de-DE"/>
        </w:rPr>
        <w:t xml:space="preserve">Zur Sicherung der Privatautonomie sollte die Willenserforschung ein Kernelement des Beurkundungsverfahrens darstellen. </w:t>
      </w:r>
    </w:p>
    <w:p w:rsidR="00BF0C77" w:rsidRPr="00287997" w:rsidRDefault="00B27CB8" w:rsidP="00287997">
      <w:pPr>
        <w:numPr>
          <w:ilvl w:val="0"/>
          <w:numId w:val="1"/>
        </w:numPr>
        <w:spacing w:after="120" w:line="320" w:lineRule="exact"/>
        <w:ind w:hanging="360"/>
        <w:jc w:val="both"/>
        <w:rPr>
          <w:rFonts w:asciiTheme="minorHAnsi" w:hAnsiTheme="minorHAnsi" w:cstheme="minorHAnsi"/>
          <w:szCs w:val="24"/>
          <w:lang w:val="de-DE"/>
        </w:rPr>
      </w:pPr>
      <w:r w:rsidRPr="00287997">
        <w:rPr>
          <w:rFonts w:asciiTheme="minorHAnsi" w:hAnsiTheme="minorHAnsi" w:cstheme="minorHAnsi"/>
          <w:b/>
          <w:szCs w:val="24"/>
          <w:lang w:val="de-DE"/>
        </w:rPr>
        <w:t xml:space="preserve">Der Einsatz neuer Technologien wird von Notaren als Herausforderung gesehen und angenommen.  </w:t>
      </w:r>
    </w:p>
    <w:p w:rsidR="00BF0C77" w:rsidRPr="006151F5" w:rsidRDefault="00B27CB8" w:rsidP="006151F5">
      <w:pPr>
        <w:pStyle w:val="Paragrafoelenco"/>
        <w:numPr>
          <w:ilvl w:val="0"/>
          <w:numId w:val="8"/>
        </w:numPr>
        <w:spacing w:after="60" w:line="320" w:lineRule="exact"/>
        <w:ind w:left="1276" w:hanging="567"/>
        <w:jc w:val="both"/>
        <w:rPr>
          <w:rFonts w:asciiTheme="minorHAnsi" w:hAnsiTheme="minorHAnsi" w:cstheme="minorHAnsi"/>
          <w:szCs w:val="24"/>
          <w:lang w:val="de-DE"/>
        </w:rPr>
      </w:pPr>
      <w:r w:rsidRPr="006151F5">
        <w:rPr>
          <w:rFonts w:asciiTheme="minorHAnsi" w:hAnsiTheme="minorHAnsi" w:cstheme="minorHAnsi"/>
          <w:szCs w:val="24"/>
          <w:lang w:val="de-DE"/>
        </w:rPr>
        <w:t xml:space="preserve">Die Implementierung und der Einsatz neuer Technologien dienen der </w:t>
      </w:r>
    </w:p>
    <w:p w:rsidR="00BF0C77" w:rsidRPr="00287997" w:rsidRDefault="00B27CB8" w:rsidP="00B058D6">
      <w:pPr>
        <w:numPr>
          <w:ilvl w:val="3"/>
          <w:numId w:val="3"/>
        </w:numPr>
        <w:spacing w:after="60" w:line="320" w:lineRule="exact"/>
        <w:ind w:left="1560" w:right="1868" w:hanging="284"/>
        <w:jc w:val="both"/>
        <w:rPr>
          <w:rFonts w:asciiTheme="minorHAnsi" w:hAnsiTheme="minorHAnsi" w:cstheme="minorHAnsi"/>
          <w:szCs w:val="24"/>
        </w:rPr>
      </w:pPr>
      <w:proofErr w:type="spellStart"/>
      <w:r w:rsidRPr="00287997">
        <w:rPr>
          <w:rFonts w:asciiTheme="minorHAnsi" w:hAnsiTheme="minorHAnsi" w:cstheme="minorHAnsi"/>
          <w:szCs w:val="24"/>
        </w:rPr>
        <w:t>Verbesserung</w:t>
      </w:r>
      <w:proofErr w:type="spellEnd"/>
      <w:r w:rsidRPr="00287997">
        <w:rPr>
          <w:rFonts w:asciiTheme="minorHAnsi" w:hAnsiTheme="minorHAnsi" w:cstheme="minorHAnsi"/>
          <w:szCs w:val="24"/>
        </w:rPr>
        <w:t xml:space="preserve"> </w:t>
      </w:r>
    </w:p>
    <w:p w:rsidR="00B058D6" w:rsidRPr="00B058D6" w:rsidRDefault="00B27CB8" w:rsidP="00B058D6">
      <w:pPr>
        <w:numPr>
          <w:ilvl w:val="3"/>
          <w:numId w:val="3"/>
        </w:numPr>
        <w:spacing w:after="120" w:line="320" w:lineRule="exact"/>
        <w:ind w:left="1560" w:right="1868" w:hanging="284"/>
        <w:jc w:val="both"/>
        <w:rPr>
          <w:rFonts w:asciiTheme="minorHAnsi" w:hAnsiTheme="minorHAnsi" w:cstheme="minorHAnsi"/>
          <w:szCs w:val="24"/>
          <w:lang w:val="de-DE"/>
        </w:rPr>
      </w:pPr>
      <w:r w:rsidRPr="00287997">
        <w:rPr>
          <w:rFonts w:asciiTheme="minorHAnsi" w:hAnsiTheme="minorHAnsi" w:cstheme="minorHAnsi"/>
          <w:szCs w:val="24"/>
          <w:lang w:val="de-DE"/>
        </w:rPr>
        <w:t>Vertiefung und</w:t>
      </w:r>
      <w:r w:rsidRPr="00287997">
        <w:rPr>
          <w:rFonts w:asciiTheme="minorHAnsi" w:hAnsiTheme="minorHAnsi" w:cstheme="minorHAnsi"/>
          <w:color w:val="FF0000"/>
          <w:szCs w:val="24"/>
          <w:lang w:val="de-DE"/>
        </w:rPr>
        <w:t xml:space="preserve"> </w:t>
      </w:r>
    </w:p>
    <w:p w:rsidR="00B058D6" w:rsidRDefault="00B27CB8" w:rsidP="00B058D6">
      <w:pPr>
        <w:numPr>
          <w:ilvl w:val="3"/>
          <w:numId w:val="3"/>
        </w:numPr>
        <w:spacing w:after="0" w:line="320" w:lineRule="exact"/>
        <w:ind w:left="1560" w:right="1865" w:hanging="284"/>
        <w:jc w:val="both"/>
        <w:rPr>
          <w:rFonts w:asciiTheme="minorHAnsi" w:hAnsiTheme="minorHAnsi" w:cstheme="minorHAnsi"/>
          <w:szCs w:val="24"/>
          <w:lang w:val="de-DE"/>
        </w:rPr>
      </w:pPr>
      <w:r w:rsidRPr="00287997">
        <w:rPr>
          <w:rFonts w:asciiTheme="minorHAnsi" w:hAnsiTheme="minorHAnsi" w:cstheme="minorHAnsi"/>
          <w:szCs w:val="24"/>
          <w:lang w:val="de-DE"/>
        </w:rPr>
        <w:t xml:space="preserve">Weiterentwicklung </w:t>
      </w:r>
    </w:p>
    <w:p w:rsidR="00BF0C77" w:rsidRPr="00287997" w:rsidRDefault="00B27CB8" w:rsidP="00B058D6">
      <w:pPr>
        <w:spacing w:after="120" w:line="320" w:lineRule="exact"/>
        <w:ind w:left="1560" w:right="1868" w:firstLine="0"/>
        <w:jc w:val="both"/>
        <w:rPr>
          <w:rFonts w:asciiTheme="minorHAnsi" w:hAnsiTheme="minorHAnsi" w:cstheme="minorHAnsi"/>
          <w:szCs w:val="24"/>
          <w:lang w:val="de-DE"/>
        </w:rPr>
      </w:pPr>
      <w:r w:rsidRPr="00287997">
        <w:rPr>
          <w:rFonts w:asciiTheme="minorHAnsi" w:hAnsiTheme="minorHAnsi" w:cstheme="minorHAnsi"/>
          <w:szCs w:val="24"/>
          <w:lang w:val="de-DE"/>
        </w:rPr>
        <w:t xml:space="preserve">der Rechtsdienstleistung der Notare.  </w:t>
      </w:r>
    </w:p>
    <w:p w:rsidR="00BF0C77" w:rsidRPr="00287997" w:rsidRDefault="00B27CB8" w:rsidP="006151F5">
      <w:pPr>
        <w:numPr>
          <w:ilvl w:val="2"/>
          <w:numId w:val="6"/>
        </w:numPr>
        <w:spacing w:after="120" w:line="320" w:lineRule="exact"/>
        <w:ind w:left="1276" w:hanging="567"/>
        <w:jc w:val="both"/>
        <w:rPr>
          <w:rFonts w:asciiTheme="minorHAnsi" w:hAnsiTheme="minorHAnsi" w:cstheme="minorHAnsi"/>
          <w:szCs w:val="24"/>
          <w:lang w:val="de-DE"/>
        </w:rPr>
      </w:pPr>
      <w:r w:rsidRPr="00287997">
        <w:rPr>
          <w:rFonts w:asciiTheme="minorHAnsi" w:hAnsiTheme="minorHAnsi" w:cstheme="minorHAnsi"/>
          <w:szCs w:val="24"/>
          <w:lang w:val="de-DE"/>
        </w:rPr>
        <w:t xml:space="preserve">Notare sind für neue Technologien offen. Hierbei müssen stets höchste Sicherheitsstandards eingehalten werden. </w:t>
      </w:r>
    </w:p>
    <w:p w:rsidR="00BF0C77" w:rsidRPr="00B058D6" w:rsidRDefault="00B27CB8" w:rsidP="004C235E">
      <w:pPr>
        <w:numPr>
          <w:ilvl w:val="2"/>
          <w:numId w:val="6"/>
        </w:numPr>
        <w:spacing w:after="240" w:line="320" w:lineRule="exact"/>
        <w:ind w:left="1276" w:hanging="567"/>
        <w:jc w:val="both"/>
        <w:rPr>
          <w:rFonts w:asciiTheme="minorHAnsi" w:hAnsiTheme="minorHAnsi" w:cstheme="minorHAnsi"/>
          <w:szCs w:val="24"/>
          <w:lang w:val="de-DE"/>
        </w:rPr>
      </w:pPr>
      <w:r w:rsidRPr="00287997">
        <w:rPr>
          <w:rFonts w:asciiTheme="minorHAnsi" w:hAnsiTheme="minorHAnsi" w:cstheme="minorHAnsi"/>
          <w:szCs w:val="24"/>
          <w:lang w:val="de-DE"/>
        </w:rPr>
        <w:t xml:space="preserve">Notarkammern sollten als Vorreiter innovative, neue Projekte, wie etwa zentrale Urkundenarchive oder Register anstoßen, fördern und eventuell selbst wahrnehmen. </w:t>
      </w:r>
    </w:p>
    <w:p w:rsidR="00BF0C77" w:rsidRPr="00287997" w:rsidRDefault="00B27CB8" w:rsidP="00287997">
      <w:pPr>
        <w:spacing w:after="120" w:line="320" w:lineRule="exact"/>
        <w:ind w:left="730"/>
        <w:jc w:val="both"/>
        <w:rPr>
          <w:rFonts w:asciiTheme="minorHAnsi" w:hAnsiTheme="minorHAnsi" w:cstheme="minorHAnsi"/>
          <w:szCs w:val="24"/>
          <w:lang w:val="de-DE"/>
        </w:rPr>
      </w:pPr>
      <w:r w:rsidRPr="00287997">
        <w:rPr>
          <w:rFonts w:asciiTheme="minorHAnsi" w:hAnsiTheme="minorHAnsi" w:cstheme="minorHAnsi"/>
          <w:b/>
          <w:szCs w:val="24"/>
          <w:lang w:val="de-DE"/>
        </w:rPr>
        <w:t xml:space="preserve">Der 29. Kongress der Internationalen Union des Notariats empfiehlt daher: </w:t>
      </w:r>
    </w:p>
    <w:p w:rsidR="00BF0C77" w:rsidRPr="00287997" w:rsidRDefault="00B27CB8" w:rsidP="00492127">
      <w:pPr>
        <w:spacing w:after="360" w:line="320" w:lineRule="exact"/>
        <w:ind w:left="708" w:hanging="11"/>
        <w:jc w:val="both"/>
        <w:rPr>
          <w:rFonts w:asciiTheme="minorHAnsi" w:hAnsiTheme="minorHAnsi" w:cstheme="minorHAnsi"/>
          <w:szCs w:val="24"/>
        </w:rPr>
      </w:pPr>
      <w:r w:rsidRPr="00287997">
        <w:rPr>
          <w:rFonts w:asciiTheme="minorHAnsi" w:hAnsiTheme="minorHAnsi" w:cstheme="minorHAnsi"/>
          <w:b/>
          <w:szCs w:val="24"/>
          <w:lang w:val="de-DE"/>
        </w:rPr>
        <w:t xml:space="preserve">Notare sollen modernen Informationstechnologien offen gegenüberstehen. Sie sollten die Vorteile dieser Technologien für ihre Rechtsdienstleistung nutzen. </w:t>
      </w:r>
      <w:proofErr w:type="spellStart"/>
      <w:r w:rsidRPr="00287997">
        <w:rPr>
          <w:rFonts w:asciiTheme="minorHAnsi" w:hAnsiTheme="minorHAnsi" w:cstheme="minorHAnsi"/>
          <w:b/>
          <w:szCs w:val="24"/>
        </w:rPr>
        <w:t>Dies</w:t>
      </w:r>
      <w:proofErr w:type="spellEnd"/>
      <w:r w:rsidRPr="00287997">
        <w:rPr>
          <w:rFonts w:asciiTheme="minorHAnsi" w:hAnsiTheme="minorHAnsi" w:cstheme="minorHAnsi"/>
          <w:b/>
          <w:szCs w:val="24"/>
        </w:rPr>
        <w:t xml:space="preserve"> </w:t>
      </w:r>
      <w:proofErr w:type="spellStart"/>
      <w:r w:rsidRPr="00287997">
        <w:rPr>
          <w:rFonts w:asciiTheme="minorHAnsi" w:hAnsiTheme="minorHAnsi" w:cstheme="minorHAnsi"/>
          <w:b/>
          <w:szCs w:val="24"/>
        </w:rPr>
        <w:t>sollte</w:t>
      </w:r>
      <w:proofErr w:type="spellEnd"/>
      <w:r w:rsidRPr="00287997">
        <w:rPr>
          <w:rFonts w:asciiTheme="minorHAnsi" w:hAnsiTheme="minorHAnsi" w:cstheme="minorHAnsi"/>
          <w:b/>
          <w:szCs w:val="24"/>
        </w:rPr>
        <w:t xml:space="preserve"> </w:t>
      </w:r>
      <w:proofErr w:type="spellStart"/>
      <w:r w:rsidRPr="00287997">
        <w:rPr>
          <w:rFonts w:asciiTheme="minorHAnsi" w:hAnsiTheme="minorHAnsi" w:cstheme="minorHAnsi"/>
          <w:b/>
          <w:szCs w:val="24"/>
        </w:rPr>
        <w:t>immer</w:t>
      </w:r>
      <w:proofErr w:type="spellEnd"/>
      <w:r w:rsidRPr="00287997">
        <w:rPr>
          <w:rFonts w:asciiTheme="minorHAnsi" w:hAnsiTheme="minorHAnsi" w:cstheme="minorHAnsi"/>
          <w:b/>
          <w:szCs w:val="24"/>
        </w:rPr>
        <w:t xml:space="preserve"> </w:t>
      </w:r>
      <w:proofErr w:type="spellStart"/>
      <w:r w:rsidRPr="00287997">
        <w:rPr>
          <w:rFonts w:asciiTheme="minorHAnsi" w:hAnsiTheme="minorHAnsi" w:cstheme="minorHAnsi"/>
          <w:b/>
          <w:szCs w:val="24"/>
        </w:rPr>
        <w:t>unter</w:t>
      </w:r>
      <w:proofErr w:type="spellEnd"/>
      <w:r w:rsidRPr="00287997">
        <w:rPr>
          <w:rFonts w:asciiTheme="minorHAnsi" w:hAnsiTheme="minorHAnsi" w:cstheme="minorHAnsi"/>
          <w:b/>
          <w:szCs w:val="24"/>
        </w:rPr>
        <w:t xml:space="preserve"> </w:t>
      </w:r>
      <w:proofErr w:type="spellStart"/>
      <w:r w:rsidRPr="00287997">
        <w:rPr>
          <w:rFonts w:asciiTheme="minorHAnsi" w:hAnsiTheme="minorHAnsi" w:cstheme="minorHAnsi"/>
          <w:b/>
          <w:szCs w:val="24"/>
        </w:rPr>
        <w:t>Wahrung</w:t>
      </w:r>
      <w:proofErr w:type="spellEnd"/>
      <w:r w:rsidRPr="00287997">
        <w:rPr>
          <w:rFonts w:asciiTheme="minorHAnsi" w:hAnsiTheme="minorHAnsi" w:cstheme="minorHAnsi"/>
          <w:b/>
          <w:szCs w:val="24"/>
        </w:rPr>
        <w:t xml:space="preserve"> </w:t>
      </w:r>
      <w:proofErr w:type="spellStart"/>
      <w:r w:rsidRPr="00287997">
        <w:rPr>
          <w:rFonts w:asciiTheme="minorHAnsi" w:hAnsiTheme="minorHAnsi" w:cstheme="minorHAnsi"/>
          <w:b/>
          <w:szCs w:val="24"/>
        </w:rPr>
        <w:t>höchster</w:t>
      </w:r>
      <w:proofErr w:type="spellEnd"/>
      <w:r w:rsidRPr="00287997">
        <w:rPr>
          <w:rFonts w:asciiTheme="minorHAnsi" w:hAnsiTheme="minorHAnsi" w:cstheme="minorHAnsi"/>
          <w:b/>
          <w:szCs w:val="24"/>
        </w:rPr>
        <w:t xml:space="preserve"> </w:t>
      </w:r>
      <w:proofErr w:type="spellStart"/>
      <w:r w:rsidRPr="00287997">
        <w:rPr>
          <w:rFonts w:asciiTheme="minorHAnsi" w:hAnsiTheme="minorHAnsi" w:cstheme="minorHAnsi"/>
          <w:b/>
          <w:szCs w:val="24"/>
        </w:rPr>
        <w:t>Sicherheitsstandards</w:t>
      </w:r>
      <w:proofErr w:type="spellEnd"/>
      <w:r w:rsidRPr="00287997">
        <w:rPr>
          <w:rFonts w:asciiTheme="minorHAnsi" w:hAnsiTheme="minorHAnsi" w:cstheme="minorHAnsi"/>
          <w:b/>
          <w:szCs w:val="24"/>
        </w:rPr>
        <w:t xml:space="preserve"> </w:t>
      </w:r>
      <w:proofErr w:type="spellStart"/>
      <w:r w:rsidRPr="00287997">
        <w:rPr>
          <w:rFonts w:asciiTheme="minorHAnsi" w:hAnsiTheme="minorHAnsi" w:cstheme="minorHAnsi"/>
          <w:b/>
          <w:szCs w:val="24"/>
        </w:rPr>
        <w:t>erfolgen</w:t>
      </w:r>
      <w:proofErr w:type="spellEnd"/>
      <w:r w:rsidRPr="00287997">
        <w:rPr>
          <w:rFonts w:asciiTheme="minorHAnsi" w:hAnsiTheme="minorHAnsi" w:cstheme="minorHAnsi"/>
          <w:b/>
          <w:szCs w:val="24"/>
        </w:rPr>
        <w:t xml:space="preserve">. </w:t>
      </w:r>
    </w:p>
    <w:p w:rsidR="00BF0C77" w:rsidRPr="00287997" w:rsidRDefault="00B27CB8" w:rsidP="00287997">
      <w:pPr>
        <w:numPr>
          <w:ilvl w:val="0"/>
          <w:numId w:val="1"/>
        </w:numPr>
        <w:spacing w:after="120" w:line="320" w:lineRule="exact"/>
        <w:ind w:hanging="360"/>
        <w:jc w:val="both"/>
        <w:rPr>
          <w:rFonts w:asciiTheme="minorHAnsi" w:hAnsiTheme="minorHAnsi" w:cstheme="minorHAnsi"/>
          <w:szCs w:val="24"/>
          <w:lang w:val="de-DE"/>
        </w:rPr>
      </w:pPr>
      <w:r w:rsidRPr="00287997">
        <w:rPr>
          <w:rFonts w:asciiTheme="minorHAnsi" w:hAnsiTheme="minorHAnsi" w:cstheme="minorHAnsi"/>
          <w:b/>
          <w:szCs w:val="24"/>
          <w:lang w:val="de-DE"/>
        </w:rPr>
        <w:t xml:space="preserve">Die Globalisierung führt zu vermehrten Berührungspunkten mit anderen Rechtsordnungen sowie am Common Law orientierter internationaler Organisationen. </w:t>
      </w:r>
    </w:p>
    <w:p w:rsidR="00BF0C77" w:rsidRPr="00492127" w:rsidRDefault="00B27CB8" w:rsidP="009B08CD">
      <w:pPr>
        <w:numPr>
          <w:ilvl w:val="2"/>
          <w:numId w:val="7"/>
        </w:numPr>
        <w:spacing w:after="120" w:line="320" w:lineRule="exact"/>
        <w:ind w:left="1418" w:hanging="284"/>
        <w:jc w:val="both"/>
        <w:rPr>
          <w:rFonts w:asciiTheme="minorHAnsi" w:hAnsiTheme="minorHAnsi" w:cstheme="minorHAnsi"/>
          <w:szCs w:val="24"/>
          <w:lang w:val="de-DE"/>
        </w:rPr>
      </w:pPr>
      <w:r w:rsidRPr="00492127">
        <w:rPr>
          <w:rFonts w:asciiTheme="minorHAnsi" w:hAnsiTheme="minorHAnsi" w:cstheme="minorHAnsi"/>
          <w:szCs w:val="24"/>
          <w:lang w:val="de-DE"/>
        </w:rPr>
        <w:t>Aufgrund teilweise erheblicher Unterschiede bereits im materiellen Recht kann die Einfügung von Bestandteilen des Common Law zu Inkonsistenzen und Friktion</w:t>
      </w:r>
      <w:bookmarkStart w:id="0" w:name="_GoBack"/>
      <w:bookmarkEnd w:id="0"/>
      <w:r w:rsidRPr="00492127">
        <w:rPr>
          <w:rFonts w:asciiTheme="minorHAnsi" w:hAnsiTheme="minorHAnsi" w:cstheme="minorHAnsi"/>
          <w:szCs w:val="24"/>
          <w:lang w:val="de-DE"/>
        </w:rPr>
        <w:t xml:space="preserve">en in den Zivilrechtsordnungen führen.   </w:t>
      </w:r>
    </w:p>
    <w:p w:rsidR="00BF0C77" w:rsidRPr="009B08CD" w:rsidRDefault="00B27CB8" w:rsidP="009B08CD">
      <w:pPr>
        <w:numPr>
          <w:ilvl w:val="2"/>
          <w:numId w:val="7"/>
        </w:numPr>
        <w:spacing w:after="120" w:line="320" w:lineRule="exact"/>
        <w:ind w:left="1418" w:hanging="284"/>
        <w:jc w:val="both"/>
        <w:rPr>
          <w:rFonts w:asciiTheme="minorHAnsi" w:hAnsiTheme="minorHAnsi" w:cstheme="minorHAnsi"/>
          <w:szCs w:val="24"/>
          <w:lang w:val="de-DE"/>
        </w:rPr>
      </w:pPr>
      <w:r w:rsidRPr="009B08CD">
        <w:rPr>
          <w:rFonts w:asciiTheme="minorHAnsi" w:hAnsiTheme="minorHAnsi" w:cstheme="minorHAnsi"/>
          <w:szCs w:val="24"/>
          <w:lang w:val="de-DE"/>
        </w:rPr>
        <w:lastRenderedPageBreak/>
        <w:t xml:space="preserve">Im Common Law gibt es keine dem Civil Law entsprechende Regelungen zum Verbraucherschutz bei der Vertragsgestaltung. Verbraucher sind daher auf Regelungen des Schadensersatzes und Deliktsrechts angewiesen. Solche Ansprüche sind gerichtlich geltend zu machen. Das Risiko trägt der Verbraucher.  </w:t>
      </w:r>
    </w:p>
    <w:p w:rsidR="00BF0C77" w:rsidRPr="00287997" w:rsidRDefault="00B27CB8" w:rsidP="009B08CD">
      <w:pPr>
        <w:numPr>
          <w:ilvl w:val="2"/>
          <w:numId w:val="7"/>
        </w:numPr>
        <w:spacing w:after="120" w:line="320" w:lineRule="exact"/>
        <w:ind w:left="1418" w:hanging="284"/>
        <w:jc w:val="both"/>
        <w:rPr>
          <w:rFonts w:asciiTheme="minorHAnsi" w:hAnsiTheme="minorHAnsi" w:cstheme="minorHAnsi"/>
          <w:szCs w:val="24"/>
          <w:lang w:val="de-DE"/>
        </w:rPr>
      </w:pPr>
      <w:r w:rsidRPr="00287997">
        <w:rPr>
          <w:rFonts w:asciiTheme="minorHAnsi" w:hAnsiTheme="minorHAnsi" w:cstheme="minorHAnsi"/>
          <w:szCs w:val="24"/>
          <w:lang w:val="de-DE"/>
        </w:rPr>
        <w:t xml:space="preserve">Im kontinentaleuropäischen Recht und dem Verfahren der vorsorgenden Rechtspflege ist der Verbraucher a priori geschützt. Schäden sind bei gesetzeskonformer Vertragsgestaltung, die der Notar garantiert, ausgeschlossen.  </w:t>
      </w:r>
    </w:p>
    <w:p w:rsidR="00BF0C77" w:rsidRPr="00287997" w:rsidRDefault="00B27CB8" w:rsidP="009B08CD">
      <w:pPr>
        <w:numPr>
          <w:ilvl w:val="2"/>
          <w:numId w:val="7"/>
        </w:numPr>
        <w:spacing w:after="120" w:line="320" w:lineRule="exact"/>
        <w:ind w:left="1418" w:hanging="284"/>
        <w:jc w:val="both"/>
        <w:rPr>
          <w:rFonts w:asciiTheme="minorHAnsi" w:hAnsiTheme="minorHAnsi" w:cstheme="minorHAnsi"/>
          <w:szCs w:val="24"/>
          <w:lang w:val="de-DE"/>
        </w:rPr>
      </w:pPr>
      <w:r w:rsidRPr="00287997">
        <w:rPr>
          <w:rFonts w:asciiTheme="minorHAnsi" w:hAnsiTheme="minorHAnsi" w:cstheme="minorHAnsi"/>
          <w:szCs w:val="24"/>
          <w:lang w:val="de-DE"/>
        </w:rPr>
        <w:t xml:space="preserve">Register (Grundbücher und Handelsregister) dienen im Bereich des Common Law nur der Information ohne jede Richtigkeitsgewähr. Niemand haftet für falsche Eintragung, da jedermann antragsberechtigt ist. Im Bereich des kontinentaleuropäischen Rechtskreises sorgen Notare, sofern ihnen die Kompetenz hierfür übertragen wurde, für die Richtigkeit der öffentlichen Register und Jedermann kann sich darauf verlassen.  </w:t>
      </w:r>
    </w:p>
    <w:p w:rsidR="00BF0C77" w:rsidRPr="00287997" w:rsidRDefault="00B27CB8" w:rsidP="009B08CD">
      <w:pPr>
        <w:numPr>
          <w:ilvl w:val="2"/>
          <w:numId w:val="7"/>
        </w:numPr>
        <w:spacing w:after="120" w:line="320" w:lineRule="exact"/>
        <w:ind w:left="1418" w:hanging="284"/>
        <w:jc w:val="both"/>
        <w:rPr>
          <w:rFonts w:asciiTheme="minorHAnsi" w:hAnsiTheme="minorHAnsi" w:cstheme="minorHAnsi"/>
          <w:szCs w:val="24"/>
          <w:lang w:val="de-DE"/>
        </w:rPr>
      </w:pPr>
      <w:r w:rsidRPr="00287997">
        <w:rPr>
          <w:rFonts w:asciiTheme="minorHAnsi" w:hAnsiTheme="minorHAnsi" w:cstheme="minorHAnsi"/>
          <w:szCs w:val="24"/>
          <w:lang w:val="de-DE"/>
        </w:rPr>
        <w:t xml:space="preserve">Nationale Gesetzgebungen sollten Notaren die Möglichkeit eröffnen, Urkunden nicht nur in der Landessprache, sondern in jeder Sprache, die sie beherrschen, zu errichten. </w:t>
      </w:r>
    </w:p>
    <w:p w:rsidR="00BF0C77" w:rsidRPr="00287997" w:rsidRDefault="00B27CB8" w:rsidP="00287997">
      <w:pPr>
        <w:spacing w:after="120" w:line="320" w:lineRule="exact"/>
        <w:ind w:left="730"/>
        <w:jc w:val="both"/>
        <w:rPr>
          <w:rFonts w:asciiTheme="minorHAnsi" w:hAnsiTheme="minorHAnsi" w:cstheme="minorHAnsi"/>
          <w:szCs w:val="24"/>
          <w:lang w:val="de-DE"/>
        </w:rPr>
      </w:pPr>
      <w:r w:rsidRPr="00287997">
        <w:rPr>
          <w:rFonts w:asciiTheme="minorHAnsi" w:hAnsiTheme="minorHAnsi" w:cstheme="minorHAnsi"/>
          <w:b/>
          <w:szCs w:val="24"/>
          <w:lang w:val="de-DE"/>
        </w:rPr>
        <w:t xml:space="preserve">Der 29. Kongress der Internationalen Union des Notariats empfiehlt daher: </w:t>
      </w:r>
    </w:p>
    <w:p w:rsidR="00BF0C77" w:rsidRPr="00492127" w:rsidRDefault="00B27CB8" w:rsidP="00492127">
      <w:pPr>
        <w:spacing w:after="120" w:line="320" w:lineRule="exact"/>
        <w:ind w:left="708" w:firstLine="0"/>
        <w:jc w:val="both"/>
        <w:rPr>
          <w:rFonts w:asciiTheme="minorHAnsi" w:hAnsiTheme="minorHAnsi" w:cstheme="minorHAnsi"/>
          <w:szCs w:val="24"/>
          <w:lang w:val="de-DE"/>
        </w:rPr>
      </w:pPr>
      <w:r w:rsidRPr="00287997">
        <w:rPr>
          <w:rFonts w:asciiTheme="minorHAnsi" w:hAnsiTheme="minorHAnsi" w:cstheme="minorHAnsi"/>
          <w:b/>
          <w:szCs w:val="24"/>
          <w:lang w:val="de-DE"/>
        </w:rPr>
        <w:t xml:space="preserve">Die Notare und die Notarkammern sollen den internationalen Organisationen das lateinische Notariatssystem und die Bedeutung der vorsorgenden Rechtspflege nahebringen. </w:t>
      </w:r>
      <w:r w:rsidRPr="00492127">
        <w:rPr>
          <w:rFonts w:asciiTheme="minorHAnsi" w:hAnsiTheme="minorHAnsi" w:cstheme="minorHAnsi"/>
          <w:b/>
          <w:szCs w:val="24"/>
          <w:lang w:val="de-DE"/>
        </w:rPr>
        <w:t xml:space="preserve">Dabei sollte herausgestellt werden, dass  </w:t>
      </w:r>
    </w:p>
    <w:p w:rsidR="00BF0C77" w:rsidRPr="00287997" w:rsidRDefault="00B27CB8" w:rsidP="00492127">
      <w:pPr>
        <w:numPr>
          <w:ilvl w:val="2"/>
          <w:numId w:val="2"/>
        </w:numPr>
        <w:spacing w:after="120" w:line="320" w:lineRule="exact"/>
        <w:ind w:left="993" w:hanging="284"/>
        <w:jc w:val="both"/>
        <w:rPr>
          <w:rFonts w:asciiTheme="minorHAnsi" w:hAnsiTheme="minorHAnsi" w:cstheme="minorHAnsi"/>
          <w:szCs w:val="24"/>
          <w:lang w:val="de-DE"/>
        </w:rPr>
      </w:pPr>
      <w:r w:rsidRPr="00287997">
        <w:rPr>
          <w:rFonts w:asciiTheme="minorHAnsi" w:hAnsiTheme="minorHAnsi" w:cstheme="minorHAnsi"/>
          <w:b/>
          <w:szCs w:val="24"/>
          <w:lang w:val="de-DE"/>
        </w:rPr>
        <w:t xml:space="preserve">Mischsysteme im materiellen Recht wegen der damit zwangsläufig verbundenen Inkonsistenzen und Friktionen zu vermeiden sind, und </w:t>
      </w:r>
    </w:p>
    <w:p w:rsidR="00BF0C77" w:rsidRPr="00287997" w:rsidRDefault="00B27CB8" w:rsidP="00492127">
      <w:pPr>
        <w:numPr>
          <w:ilvl w:val="2"/>
          <w:numId w:val="2"/>
        </w:numPr>
        <w:spacing w:after="120" w:line="320" w:lineRule="exact"/>
        <w:ind w:left="993" w:hanging="284"/>
        <w:jc w:val="both"/>
        <w:rPr>
          <w:rFonts w:asciiTheme="minorHAnsi" w:hAnsiTheme="minorHAnsi" w:cstheme="minorHAnsi"/>
          <w:szCs w:val="24"/>
          <w:lang w:val="de-DE"/>
        </w:rPr>
      </w:pPr>
      <w:r w:rsidRPr="00287997">
        <w:rPr>
          <w:rFonts w:asciiTheme="minorHAnsi" w:hAnsiTheme="minorHAnsi" w:cstheme="minorHAnsi"/>
          <w:b/>
          <w:szCs w:val="24"/>
          <w:lang w:val="de-DE"/>
        </w:rPr>
        <w:t xml:space="preserve">zur Schaffung und Aufrechterhaltung zuverlässiger öffentlicher Register die Gestaltung der Grundlagen für die Eintragungen ausschließlich in die Hand der Notare gehören. </w:t>
      </w:r>
    </w:p>
    <w:p w:rsidR="00BF0C77" w:rsidRDefault="00BF0C77" w:rsidP="00287997">
      <w:pPr>
        <w:spacing w:after="120" w:line="320" w:lineRule="exact"/>
        <w:ind w:left="0" w:firstLine="0"/>
        <w:jc w:val="both"/>
        <w:rPr>
          <w:rFonts w:asciiTheme="minorHAnsi" w:hAnsiTheme="minorHAnsi" w:cstheme="minorHAnsi"/>
          <w:szCs w:val="24"/>
          <w:lang w:val="de-DE"/>
        </w:rPr>
      </w:pPr>
    </w:p>
    <w:p w:rsidR="00B00BEC" w:rsidRPr="00492127" w:rsidRDefault="00B00BEC" w:rsidP="00B00BEC">
      <w:pPr>
        <w:spacing w:after="120" w:line="320" w:lineRule="exact"/>
        <w:ind w:left="0" w:firstLine="0"/>
        <w:jc w:val="center"/>
        <w:rPr>
          <w:rFonts w:asciiTheme="minorHAnsi" w:hAnsiTheme="minorHAnsi" w:cstheme="minorHAnsi"/>
          <w:b/>
          <w:szCs w:val="24"/>
          <w:lang w:val="de-DE"/>
        </w:rPr>
      </w:pPr>
      <w:r w:rsidRPr="00492127">
        <w:rPr>
          <w:rFonts w:asciiTheme="minorHAnsi" w:hAnsiTheme="minorHAnsi" w:cstheme="minorHAnsi"/>
          <w:b/>
          <w:szCs w:val="24"/>
          <w:lang w:val="de-DE"/>
        </w:rPr>
        <w:t>-</w:t>
      </w:r>
      <w:r>
        <w:rPr>
          <w:rFonts w:asciiTheme="minorHAnsi" w:hAnsiTheme="minorHAnsi" w:cstheme="minorHAnsi"/>
          <w:b/>
          <w:szCs w:val="24"/>
          <w:lang w:val="de-DE"/>
        </w:rPr>
        <w:t>∞</w:t>
      </w:r>
      <w:r w:rsidRPr="00492127">
        <w:rPr>
          <w:rFonts w:asciiTheme="minorHAnsi" w:hAnsiTheme="minorHAnsi" w:cstheme="minorHAnsi"/>
          <w:b/>
          <w:szCs w:val="24"/>
          <w:lang w:val="de-DE"/>
        </w:rPr>
        <w:t>-</w:t>
      </w:r>
      <w:r>
        <w:rPr>
          <w:rFonts w:asciiTheme="minorHAnsi" w:hAnsiTheme="minorHAnsi" w:cstheme="minorHAnsi"/>
          <w:b/>
          <w:szCs w:val="24"/>
          <w:lang w:val="de-DE"/>
        </w:rPr>
        <w:t>∞</w:t>
      </w:r>
      <w:r w:rsidRPr="00492127">
        <w:rPr>
          <w:rFonts w:asciiTheme="minorHAnsi" w:hAnsiTheme="minorHAnsi" w:cstheme="minorHAnsi"/>
          <w:b/>
          <w:szCs w:val="24"/>
          <w:lang w:val="de-DE"/>
        </w:rPr>
        <w:t>-</w:t>
      </w:r>
      <w:r>
        <w:rPr>
          <w:rFonts w:asciiTheme="minorHAnsi" w:hAnsiTheme="minorHAnsi" w:cstheme="minorHAnsi"/>
          <w:b/>
          <w:szCs w:val="24"/>
          <w:lang w:val="de-DE"/>
        </w:rPr>
        <w:t>∞</w:t>
      </w:r>
      <w:r w:rsidRPr="00492127">
        <w:rPr>
          <w:rFonts w:asciiTheme="minorHAnsi" w:hAnsiTheme="minorHAnsi" w:cstheme="minorHAnsi"/>
          <w:b/>
          <w:szCs w:val="24"/>
          <w:lang w:val="de-DE"/>
        </w:rPr>
        <w:t>-</w:t>
      </w:r>
    </w:p>
    <w:p w:rsidR="00B00BEC" w:rsidRPr="008A223A" w:rsidRDefault="00B00BEC" w:rsidP="00B00BEC">
      <w:pPr>
        <w:spacing w:after="120" w:line="320" w:lineRule="exact"/>
        <w:ind w:left="0" w:firstLine="0"/>
        <w:jc w:val="both"/>
        <w:rPr>
          <w:rFonts w:asciiTheme="minorHAnsi" w:hAnsiTheme="minorHAnsi" w:cstheme="minorHAnsi"/>
          <w:szCs w:val="24"/>
          <w:lang w:val="en-GB"/>
        </w:rPr>
      </w:pPr>
    </w:p>
    <w:p w:rsidR="00492127" w:rsidRPr="00492127" w:rsidRDefault="00492127" w:rsidP="00B00BEC">
      <w:pPr>
        <w:spacing w:after="120" w:line="320" w:lineRule="exact"/>
        <w:ind w:left="0" w:firstLine="0"/>
        <w:jc w:val="center"/>
        <w:rPr>
          <w:rFonts w:asciiTheme="minorHAnsi" w:hAnsiTheme="minorHAnsi" w:cstheme="minorHAnsi"/>
          <w:b/>
          <w:szCs w:val="24"/>
          <w:lang w:val="de-DE"/>
        </w:rPr>
      </w:pPr>
    </w:p>
    <w:sectPr w:rsidR="00492127" w:rsidRPr="00492127" w:rsidSect="00863934">
      <w:headerReference w:type="even" r:id="rId7"/>
      <w:headerReference w:type="default" r:id="rId8"/>
      <w:footerReference w:type="even" r:id="rId9"/>
      <w:footerReference w:type="default" r:id="rId10"/>
      <w:headerReference w:type="first" r:id="rId11"/>
      <w:footerReference w:type="first" r:id="rId12"/>
      <w:pgSz w:w="11906" w:h="16838" w:code="9"/>
      <w:pgMar w:top="2008" w:right="1423" w:bottom="1162"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7997" w:rsidRDefault="00287997" w:rsidP="00287997">
      <w:pPr>
        <w:spacing w:after="0" w:line="240" w:lineRule="auto"/>
      </w:pPr>
      <w:r>
        <w:separator/>
      </w:r>
    </w:p>
  </w:endnote>
  <w:endnote w:type="continuationSeparator" w:id="0">
    <w:p w:rsidR="00287997" w:rsidRDefault="00287997" w:rsidP="002879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22D" w:rsidRDefault="00E2422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9911429"/>
      <w:docPartObj>
        <w:docPartGallery w:val="Page Numbers (Bottom of Page)"/>
        <w:docPartUnique/>
      </w:docPartObj>
    </w:sdtPr>
    <w:sdtEndPr/>
    <w:sdtContent>
      <w:p w:rsidR="00863934" w:rsidRDefault="00863934" w:rsidP="00863934">
        <w:pPr>
          <w:pStyle w:val="Pidipagina"/>
          <w:jc w:val="right"/>
        </w:pPr>
        <w:r>
          <w:fldChar w:fldCharType="begin"/>
        </w:r>
        <w:r>
          <w:instrText>PAGE   \* MERGEFORMAT</w:instrText>
        </w:r>
        <w:r>
          <w:fldChar w:fldCharType="separate"/>
        </w:r>
        <w:r w:rsidR="009B08CD">
          <w:rPr>
            <w:noProof/>
          </w:rPr>
          <w:t>4</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0581847"/>
      <w:docPartObj>
        <w:docPartGallery w:val="Page Numbers (Bottom of Page)"/>
        <w:docPartUnique/>
      </w:docPartObj>
    </w:sdtPr>
    <w:sdtEndPr/>
    <w:sdtContent>
      <w:p w:rsidR="00863934" w:rsidRDefault="00863934" w:rsidP="00863934">
        <w:pPr>
          <w:pStyle w:val="Pidipagina"/>
          <w:jc w:val="right"/>
        </w:pPr>
        <w:r>
          <w:fldChar w:fldCharType="begin"/>
        </w:r>
        <w:r>
          <w:instrText>PAGE   \* MERGEFORMAT</w:instrText>
        </w:r>
        <w:r>
          <w:fldChar w:fldCharType="separate"/>
        </w:r>
        <w:r w:rsidR="009B08CD">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7997" w:rsidRDefault="00287997" w:rsidP="00287997">
      <w:pPr>
        <w:spacing w:after="0" w:line="240" w:lineRule="auto"/>
      </w:pPr>
      <w:r>
        <w:separator/>
      </w:r>
    </w:p>
  </w:footnote>
  <w:footnote w:type="continuationSeparator" w:id="0">
    <w:p w:rsidR="00287997" w:rsidRDefault="00287997" w:rsidP="002879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22D" w:rsidRDefault="00E2422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934" w:rsidRPr="00863934" w:rsidRDefault="00863934" w:rsidP="00863934">
    <w:pPr>
      <w:spacing w:after="0" w:line="240" w:lineRule="auto"/>
      <w:ind w:left="12" w:hanging="11"/>
      <w:jc w:val="center"/>
      <w:rPr>
        <w:rFonts w:ascii="Cambria" w:hAnsi="Cambria"/>
        <w:color w:val="2F5496" w:themeColor="accent5" w:themeShade="BF"/>
        <w:sz w:val="22"/>
        <w:lang w:val="de-DE"/>
      </w:rPr>
    </w:pPr>
    <w:r w:rsidRPr="00863934">
      <w:rPr>
        <w:rFonts w:ascii="Cambria" w:hAnsi="Cambria"/>
        <w:color w:val="2F5496" w:themeColor="accent5" w:themeShade="BF"/>
        <w:sz w:val="22"/>
        <w:lang w:val="de-DE"/>
      </w:rPr>
      <w:t>29. Internationaler Kongress des Notariats</w:t>
    </w:r>
  </w:p>
  <w:p w:rsidR="00863934" w:rsidRPr="00863934" w:rsidRDefault="00863934" w:rsidP="00863934">
    <w:pPr>
      <w:spacing w:after="120" w:line="240" w:lineRule="auto"/>
      <w:ind w:left="11" w:hanging="11"/>
      <w:jc w:val="center"/>
      <w:rPr>
        <w:rFonts w:ascii="Cambria" w:hAnsi="Cambria"/>
        <w:color w:val="2F5496" w:themeColor="accent5" w:themeShade="BF"/>
        <w:sz w:val="20"/>
        <w:lang w:val="de-DE"/>
      </w:rPr>
    </w:pPr>
    <w:r w:rsidRPr="00863934">
      <w:rPr>
        <w:rFonts w:ascii="Cambria" w:hAnsi="Cambria"/>
        <w:color w:val="2F5496" w:themeColor="accent5" w:themeShade="BF"/>
        <w:sz w:val="20"/>
        <w:lang w:val="de-DE"/>
      </w:rPr>
      <w:t>Jakarta, Indonesien – 27-30 November 2019</w:t>
    </w:r>
  </w:p>
  <w:p w:rsidR="00863934" w:rsidRPr="00863934" w:rsidRDefault="00863934" w:rsidP="00863934">
    <w:pPr>
      <w:spacing w:after="0" w:line="240" w:lineRule="auto"/>
      <w:ind w:left="12" w:right="6" w:hanging="11"/>
      <w:jc w:val="center"/>
      <w:rPr>
        <w:rFonts w:ascii="Cambria" w:hAnsi="Cambria"/>
        <w:color w:val="2F5496" w:themeColor="accent5" w:themeShade="BF"/>
        <w:sz w:val="22"/>
      </w:rPr>
    </w:pPr>
    <w:r w:rsidRPr="00863934">
      <w:rPr>
        <w:rFonts w:ascii="Cambria" w:hAnsi="Cambria"/>
        <w:color w:val="2F5496" w:themeColor="accent5" w:themeShade="BF"/>
        <w:sz w:val="22"/>
        <w:lang w:val="de-DE"/>
      </w:rPr>
      <w:t xml:space="preserve">Thema I: Gültigkeit der Prinzipien des Notariats im 21. </w:t>
    </w:r>
    <w:proofErr w:type="spellStart"/>
    <w:r w:rsidRPr="00863934">
      <w:rPr>
        <w:rFonts w:ascii="Cambria" w:hAnsi="Cambria"/>
        <w:color w:val="2F5496" w:themeColor="accent5" w:themeShade="BF"/>
        <w:sz w:val="22"/>
      </w:rPr>
      <w:t>Jahrhundert</w:t>
    </w:r>
    <w:proofErr w:type="spellEnd"/>
  </w:p>
  <w:p w:rsidR="00863934" w:rsidRDefault="00863934" w:rsidP="00863934">
    <w:pPr>
      <w:pStyle w:val="Intestazione"/>
      <w:ind w:hanging="11"/>
      <w:jc w:val="center"/>
      <w:rPr>
        <w:rFonts w:ascii="Cambria" w:hAnsi="Cambria"/>
        <w:color w:val="2F5496" w:themeColor="accent5" w:themeShade="BF"/>
        <w:sz w:val="22"/>
        <w:lang w:val="de-DE"/>
      </w:rPr>
    </w:pPr>
    <w:r w:rsidRPr="00863934">
      <w:rPr>
        <w:rFonts w:ascii="Cambria" w:hAnsi="Cambria"/>
        <w:color w:val="2F5496" w:themeColor="accent5" w:themeShade="BF"/>
        <w:sz w:val="22"/>
        <w:lang w:val="de-DE"/>
      </w:rPr>
      <w:t>SCHLUSSFOLGERUNGEN</w:t>
    </w:r>
  </w:p>
  <w:p w:rsidR="006151F5" w:rsidRDefault="006151F5" w:rsidP="00863934">
    <w:pPr>
      <w:pStyle w:val="Intestazione"/>
      <w:ind w:hanging="11"/>
      <w:jc w:val="center"/>
      <w:rPr>
        <w:rFonts w:ascii="Cambria" w:hAnsi="Cambria"/>
        <w:color w:val="2F5496" w:themeColor="accent5" w:themeShade="BF"/>
        <w:sz w:val="22"/>
        <w:lang w:val="de-DE"/>
      </w:rPr>
    </w:pPr>
  </w:p>
  <w:p w:rsidR="00492127" w:rsidRDefault="00492127" w:rsidP="00863934">
    <w:pPr>
      <w:pStyle w:val="Intestazione"/>
      <w:ind w:hanging="11"/>
      <w:jc w:val="center"/>
      <w:rPr>
        <w:rFonts w:ascii="Cambria" w:hAnsi="Cambria"/>
        <w:color w:val="2F5496" w:themeColor="accent5" w:themeShade="BF"/>
        <w:sz w:val="22"/>
        <w:lang w:val="de-D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997" w:rsidRDefault="00287997" w:rsidP="00287997">
    <w:r>
      <w:rPr>
        <w:noProof/>
      </w:rPr>
      <w:drawing>
        <wp:anchor distT="0" distB="0" distL="114300" distR="114300" simplePos="0" relativeHeight="251660288" behindDoc="1" locked="0" layoutInCell="1" allowOverlap="1" wp14:anchorId="758EBC11" wp14:editId="7FD1CBC9">
          <wp:simplePos x="0" y="0"/>
          <wp:positionH relativeFrom="margin">
            <wp:align>left</wp:align>
          </wp:positionH>
          <wp:positionV relativeFrom="paragraph">
            <wp:posOffset>-98547</wp:posOffset>
          </wp:positionV>
          <wp:extent cx="2444683" cy="1021715"/>
          <wp:effectExtent l="0" t="0" r="0" b="6985"/>
          <wp:wrapNone/>
          <wp:docPr id="63" name="Immagin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UINL 3LI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44683" cy="102171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1" locked="0" layoutInCell="1" allowOverlap="1" wp14:anchorId="2E83E8B7" wp14:editId="1583705A">
          <wp:simplePos x="0" y="0"/>
          <wp:positionH relativeFrom="margin">
            <wp:posOffset>3632515</wp:posOffset>
          </wp:positionH>
          <wp:positionV relativeFrom="paragraph">
            <wp:posOffset>-242544</wp:posOffset>
          </wp:positionV>
          <wp:extent cx="2305050" cy="1269551"/>
          <wp:effectExtent l="0" t="0" r="95250" b="26035"/>
          <wp:wrapNone/>
          <wp:docPr id="64" name="Immagin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ngres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05050" cy="1269551"/>
                  </a:xfrm>
                  <a:prstGeom prst="rect">
                    <a:avLst/>
                  </a:prstGeom>
                  <a:ln w="3175" cap="sq">
                    <a:noFill/>
                    <a:prstDash val="solid"/>
                    <a:miter lim="800000"/>
                  </a:ln>
                  <a:effectLst>
                    <a:outerShdw blurRad="50800" dist="38100" dir="2700000" algn="tl" rotWithShape="0">
                      <a:srgbClr val="000000">
                        <a:alpha val="43000"/>
                      </a:srgbClr>
                    </a:outerShdw>
                  </a:effectLst>
                </pic:spPr>
              </pic:pic>
            </a:graphicData>
          </a:graphic>
          <wp14:sizeRelH relativeFrom="margin">
            <wp14:pctWidth>0</wp14:pctWidth>
          </wp14:sizeRelH>
          <wp14:sizeRelV relativeFrom="margin">
            <wp14:pctHeight>0</wp14:pctHeight>
          </wp14:sizeRelV>
        </wp:anchor>
      </w:drawing>
    </w:r>
  </w:p>
  <w:p w:rsidR="00287997" w:rsidRDefault="0028799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023C4"/>
    <w:multiLevelType w:val="hybridMultilevel"/>
    <w:tmpl w:val="DB4210CE"/>
    <w:lvl w:ilvl="0" w:tplc="83A277B8">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0447C92">
      <w:start w:val="1"/>
      <w:numFmt w:val="lowerLetter"/>
      <w:lvlText w:val="%2"/>
      <w:lvlJc w:val="left"/>
      <w:pPr>
        <w:ind w:left="9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38ABAB2">
      <w:start w:val="2"/>
      <w:numFmt w:val="lowerLetter"/>
      <w:lvlRestart w:val="0"/>
      <w:lvlText w:val="%3."/>
      <w:lvlJc w:val="left"/>
      <w:pPr>
        <w:ind w:left="1425"/>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3" w:tplc="6F1E7060">
      <w:start w:val="1"/>
      <w:numFmt w:val="decimal"/>
      <w:lvlText w:val="%4"/>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D1EFB2E">
      <w:start w:val="1"/>
      <w:numFmt w:val="lowerLetter"/>
      <w:lvlText w:val="%5"/>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15C5968">
      <w:start w:val="1"/>
      <w:numFmt w:val="lowerRoman"/>
      <w:lvlText w:val="%6"/>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F306FB2">
      <w:start w:val="1"/>
      <w:numFmt w:val="decimal"/>
      <w:lvlText w:val="%7"/>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3B88842">
      <w:start w:val="1"/>
      <w:numFmt w:val="lowerLetter"/>
      <w:lvlText w:val="%8"/>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34251CC">
      <w:start w:val="1"/>
      <w:numFmt w:val="lowerRoman"/>
      <w:lvlText w:val="%9"/>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49677D7"/>
    <w:multiLevelType w:val="hybridMultilevel"/>
    <w:tmpl w:val="27F65EB2"/>
    <w:lvl w:ilvl="0" w:tplc="F42A93C6">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5CEF8E2">
      <w:start w:val="1"/>
      <w:numFmt w:val="lowerLetter"/>
      <w:lvlText w:val="%2."/>
      <w:lvlJc w:val="left"/>
      <w:pPr>
        <w:ind w:left="1425"/>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A28C4876">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DDC4CD6">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BB04D7C">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BBE99F4">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238A7F4">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4C2D256">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A28A63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762244B"/>
    <w:multiLevelType w:val="hybridMultilevel"/>
    <w:tmpl w:val="3006AF64"/>
    <w:lvl w:ilvl="0" w:tplc="16AC3FC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A30C10E">
      <w:start w:val="1"/>
      <w:numFmt w:val="lowerLetter"/>
      <w:lvlText w:val="%2"/>
      <w:lvlJc w:val="left"/>
      <w:pPr>
        <w:ind w:left="9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5940AB8">
      <w:start w:val="1"/>
      <w:numFmt w:val="lowerLetter"/>
      <w:lvlRestart w:val="0"/>
      <w:lvlText w:val="%3."/>
      <w:lvlJc w:val="left"/>
      <w:pPr>
        <w:ind w:left="1425"/>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3" w:tplc="1BE46B52">
      <w:start w:val="1"/>
      <w:numFmt w:val="decimal"/>
      <w:lvlText w:val="%4"/>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65EDD98">
      <w:start w:val="1"/>
      <w:numFmt w:val="lowerLetter"/>
      <w:lvlText w:val="%5"/>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6C20686">
      <w:start w:val="1"/>
      <w:numFmt w:val="lowerRoman"/>
      <w:lvlText w:val="%6"/>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EAC327C">
      <w:start w:val="1"/>
      <w:numFmt w:val="decimal"/>
      <w:lvlText w:val="%7"/>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0E41702">
      <w:start w:val="1"/>
      <w:numFmt w:val="lowerLetter"/>
      <w:lvlText w:val="%8"/>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59815B4">
      <w:start w:val="1"/>
      <w:numFmt w:val="lowerRoman"/>
      <w:lvlText w:val="%9"/>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DE411BB"/>
    <w:multiLevelType w:val="hybridMultilevel"/>
    <w:tmpl w:val="3176C46E"/>
    <w:lvl w:ilvl="0" w:tplc="2D5C8716">
      <w:start w:val="1"/>
      <w:numFmt w:val="decimal"/>
      <w:lvlText w:val="%1)"/>
      <w:lvlJc w:val="left"/>
      <w:pPr>
        <w:ind w:left="720"/>
      </w:pPr>
      <w:rPr>
        <w:rFonts w:asciiTheme="minorHAnsi" w:eastAsia="Arial" w:hAnsiTheme="minorHAnsi" w:cstheme="minorHAnsi" w:hint="default"/>
        <w:b/>
        <w:bCs/>
        <w:i w:val="0"/>
        <w:strike w:val="0"/>
        <w:dstrike w:val="0"/>
        <w:color w:val="000000"/>
        <w:sz w:val="24"/>
        <w:szCs w:val="24"/>
        <w:u w:val="none" w:color="000000"/>
        <w:bdr w:val="none" w:sz="0" w:space="0" w:color="auto"/>
        <w:shd w:val="clear" w:color="auto" w:fill="auto"/>
        <w:vertAlign w:val="baseline"/>
      </w:rPr>
    </w:lvl>
    <w:lvl w:ilvl="1" w:tplc="A29A6E6A">
      <w:start w:val="1"/>
      <w:numFmt w:val="bullet"/>
      <w:lvlText w:val="-"/>
      <w:lvlJc w:val="left"/>
      <w:pPr>
        <w:ind w:left="140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7B2260F6">
      <w:start w:val="1"/>
      <w:numFmt w:val="bullet"/>
      <w:lvlText w:val="-"/>
      <w:lvlJc w:val="left"/>
      <w:pPr>
        <w:ind w:left="16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F763AD4">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F027EEC">
      <w:start w:val="1"/>
      <w:numFmt w:val="bullet"/>
      <w:lvlText w:val="o"/>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714C2F8">
      <w:start w:val="1"/>
      <w:numFmt w:val="bullet"/>
      <w:lvlText w:val="▪"/>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56C5688">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528FA54">
      <w:start w:val="1"/>
      <w:numFmt w:val="bullet"/>
      <w:lvlText w:val="o"/>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3141346">
      <w:start w:val="1"/>
      <w:numFmt w:val="bullet"/>
      <w:lvlText w:val="▪"/>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5C492DA8"/>
    <w:multiLevelType w:val="hybridMultilevel"/>
    <w:tmpl w:val="97367214"/>
    <w:lvl w:ilvl="0" w:tplc="FD30D92E">
      <w:start w:val="1"/>
      <w:numFmt w:val="lowerLetter"/>
      <w:lvlText w:val="%1."/>
      <w:lvlJc w:val="left"/>
      <w:pPr>
        <w:ind w:left="1140" w:hanging="360"/>
      </w:pPr>
      <w:rPr>
        <w:rFonts w:hint="default"/>
        <w:sz w:val="24"/>
        <w:szCs w:val="24"/>
      </w:rPr>
    </w:lvl>
    <w:lvl w:ilvl="1" w:tplc="04100019" w:tentative="1">
      <w:start w:val="1"/>
      <w:numFmt w:val="lowerLetter"/>
      <w:lvlText w:val="%2."/>
      <w:lvlJc w:val="left"/>
      <w:pPr>
        <w:ind w:left="1860" w:hanging="360"/>
      </w:pPr>
    </w:lvl>
    <w:lvl w:ilvl="2" w:tplc="0410001B" w:tentative="1">
      <w:start w:val="1"/>
      <w:numFmt w:val="lowerRoman"/>
      <w:lvlText w:val="%3."/>
      <w:lvlJc w:val="right"/>
      <w:pPr>
        <w:ind w:left="2580" w:hanging="180"/>
      </w:pPr>
    </w:lvl>
    <w:lvl w:ilvl="3" w:tplc="0410000F" w:tentative="1">
      <w:start w:val="1"/>
      <w:numFmt w:val="decimal"/>
      <w:lvlText w:val="%4."/>
      <w:lvlJc w:val="left"/>
      <w:pPr>
        <w:ind w:left="3300" w:hanging="360"/>
      </w:pPr>
    </w:lvl>
    <w:lvl w:ilvl="4" w:tplc="04100019" w:tentative="1">
      <w:start w:val="1"/>
      <w:numFmt w:val="lowerLetter"/>
      <w:lvlText w:val="%5."/>
      <w:lvlJc w:val="left"/>
      <w:pPr>
        <w:ind w:left="4020" w:hanging="360"/>
      </w:pPr>
    </w:lvl>
    <w:lvl w:ilvl="5" w:tplc="0410001B" w:tentative="1">
      <w:start w:val="1"/>
      <w:numFmt w:val="lowerRoman"/>
      <w:lvlText w:val="%6."/>
      <w:lvlJc w:val="right"/>
      <w:pPr>
        <w:ind w:left="4740" w:hanging="180"/>
      </w:pPr>
    </w:lvl>
    <w:lvl w:ilvl="6" w:tplc="0410000F" w:tentative="1">
      <w:start w:val="1"/>
      <w:numFmt w:val="decimal"/>
      <w:lvlText w:val="%7."/>
      <w:lvlJc w:val="left"/>
      <w:pPr>
        <w:ind w:left="5460" w:hanging="360"/>
      </w:pPr>
    </w:lvl>
    <w:lvl w:ilvl="7" w:tplc="04100019" w:tentative="1">
      <w:start w:val="1"/>
      <w:numFmt w:val="lowerLetter"/>
      <w:lvlText w:val="%8."/>
      <w:lvlJc w:val="left"/>
      <w:pPr>
        <w:ind w:left="6180" w:hanging="360"/>
      </w:pPr>
    </w:lvl>
    <w:lvl w:ilvl="8" w:tplc="0410001B" w:tentative="1">
      <w:start w:val="1"/>
      <w:numFmt w:val="lowerRoman"/>
      <w:lvlText w:val="%9."/>
      <w:lvlJc w:val="right"/>
      <w:pPr>
        <w:ind w:left="6900" w:hanging="180"/>
      </w:pPr>
    </w:lvl>
  </w:abstractNum>
  <w:abstractNum w:abstractNumId="5" w15:restartNumberingAfterBreak="0">
    <w:nsid w:val="76451503"/>
    <w:multiLevelType w:val="hybridMultilevel"/>
    <w:tmpl w:val="7A4EA040"/>
    <w:lvl w:ilvl="0" w:tplc="5764200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B36F76E">
      <w:start w:val="1"/>
      <w:numFmt w:val="bullet"/>
      <w:lvlText w:val="o"/>
      <w:lvlJc w:val="left"/>
      <w:pPr>
        <w:ind w:left="9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03E3CE4">
      <w:start w:val="1"/>
      <w:numFmt w:val="bullet"/>
      <w:lvlRestart w:val="0"/>
      <w:lvlText w:val="-"/>
      <w:lvlJc w:val="left"/>
      <w:pPr>
        <w:ind w:left="14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8086B98">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D7222BA">
      <w:start w:val="1"/>
      <w:numFmt w:val="bullet"/>
      <w:lvlText w:val="o"/>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5F2612E">
      <w:start w:val="1"/>
      <w:numFmt w:val="bullet"/>
      <w:lvlText w:val="▪"/>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ECCF66C">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736AD9E">
      <w:start w:val="1"/>
      <w:numFmt w:val="bullet"/>
      <w:lvlText w:val="o"/>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9CA6512">
      <w:start w:val="1"/>
      <w:numFmt w:val="bullet"/>
      <w:lvlText w:val="▪"/>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78AD6443"/>
    <w:multiLevelType w:val="hybridMultilevel"/>
    <w:tmpl w:val="0B58A988"/>
    <w:lvl w:ilvl="0" w:tplc="1CAC63EE">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A728BC6">
      <w:start w:val="1"/>
      <w:numFmt w:val="lowerLetter"/>
      <w:lvlText w:val="%2"/>
      <w:lvlJc w:val="left"/>
      <w:pPr>
        <w:ind w:left="8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FC8E05E">
      <w:start w:val="1"/>
      <w:numFmt w:val="lowerLetter"/>
      <w:lvlRestart w:val="0"/>
      <w:lvlText w:val="%3."/>
      <w:lvlJc w:val="left"/>
      <w:pPr>
        <w:ind w:left="1425"/>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3" w:tplc="2E3E655A">
      <w:start w:val="1"/>
      <w:numFmt w:val="decimal"/>
      <w:lvlText w:val="%4"/>
      <w:lvlJc w:val="left"/>
      <w:pPr>
        <w:ind w:left="20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7C0F70E">
      <w:start w:val="1"/>
      <w:numFmt w:val="lowerLetter"/>
      <w:lvlText w:val="%5"/>
      <w:lvlJc w:val="left"/>
      <w:pPr>
        <w:ind w:left="27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820078C">
      <w:start w:val="1"/>
      <w:numFmt w:val="lowerRoman"/>
      <w:lvlText w:val="%6"/>
      <w:lvlJc w:val="left"/>
      <w:pPr>
        <w:ind w:left="34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3D0867E">
      <w:start w:val="1"/>
      <w:numFmt w:val="decimal"/>
      <w:lvlText w:val="%7"/>
      <w:lvlJc w:val="left"/>
      <w:pPr>
        <w:ind w:left="41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4F27910">
      <w:start w:val="1"/>
      <w:numFmt w:val="lowerLetter"/>
      <w:lvlText w:val="%8"/>
      <w:lvlJc w:val="left"/>
      <w:pPr>
        <w:ind w:left="48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6CC3226">
      <w:start w:val="1"/>
      <w:numFmt w:val="lowerRoman"/>
      <w:lvlText w:val="%9"/>
      <w:lvlJc w:val="left"/>
      <w:pPr>
        <w:ind w:left="56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7A2776E8"/>
    <w:multiLevelType w:val="hybridMultilevel"/>
    <w:tmpl w:val="EA0683B8"/>
    <w:lvl w:ilvl="0" w:tplc="AC3282B4">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9961DDE">
      <w:start w:val="1"/>
      <w:numFmt w:val="bullet"/>
      <w:lvlText w:val="o"/>
      <w:lvlJc w:val="left"/>
      <w:pPr>
        <w:ind w:left="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28E1F82">
      <w:start w:val="1"/>
      <w:numFmt w:val="bullet"/>
      <w:lvlText w:val="▪"/>
      <w:lvlJc w:val="left"/>
      <w:pPr>
        <w:ind w:left="1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2EAAC30">
      <w:start w:val="1"/>
      <w:numFmt w:val="bullet"/>
      <w:lvlRestart w:val="0"/>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D28391E">
      <w:start w:val="1"/>
      <w:numFmt w:val="bullet"/>
      <w:lvlText w:val="o"/>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02084D4">
      <w:start w:val="1"/>
      <w:numFmt w:val="bullet"/>
      <w:lvlText w:val="▪"/>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D6C8EAE">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EB22E4A">
      <w:start w:val="1"/>
      <w:numFmt w:val="bullet"/>
      <w:lvlText w:val="o"/>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92026DA">
      <w:start w:val="1"/>
      <w:numFmt w:val="bullet"/>
      <w:lvlText w:val="▪"/>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5"/>
  </w:num>
  <w:num w:numId="3">
    <w:abstractNumId w:val="7"/>
  </w:num>
  <w:num w:numId="4">
    <w:abstractNumId w:val="6"/>
  </w:num>
  <w:num w:numId="5">
    <w:abstractNumId w:val="1"/>
  </w:num>
  <w:num w:numId="6">
    <w:abstractNumId w:val="0"/>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proofState w:spelling="clean" w:grammar="clean"/>
  <w:defaultTabStop w:val="708"/>
  <w:hyphenationZone w:val="283"/>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C77"/>
    <w:rsid w:val="00287997"/>
    <w:rsid w:val="00492127"/>
    <w:rsid w:val="004C235E"/>
    <w:rsid w:val="006151F5"/>
    <w:rsid w:val="00816A05"/>
    <w:rsid w:val="00863934"/>
    <w:rsid w:val="008E1160"/>
    <w:rsid w:val="009B08CD"/>
    <w:rsid w:val="00A14DC6"/>
    <w:rsid w:val="00B00BEC"/>
    <w:rsid w:val="00B058D6"/>
    <w:rsid w:val="00B27CB8"/>
    <w:rsid w:val="00BF0C77"/>
    <w:rsid w:val="00C47EE6"/>
    <w:rsid w:val="00D93232"/>
    <w:rsid w:val="00E2422D"/>
    <w:rsid w:val="00EA5A6C"/>
    <w:rsid w:val="00FA2B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FDEFFA7"/>
  <w15:docId w15:val="{089424BA-D32A-49D9-A5FB-333EE2525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3" w:line="360" w:lineRule="auto"/>
      <w:ind w:left="10" w:hanging="10"/>
    </w:pPr>
    <w:rPr>
      <w:rFonts w:ascii="Arial" w:eastAsia="Arial" w:hAnsi="Arial" w:cs="Arial"/>
      <w:color w:val="000000"/>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8799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87997"/>
    <w:rPr>
      <w:rFonts w:ascii="Arial" w:eastAsia="Arial" w:hAnsi="Arial" w:cs="Arial"/>
      <w:color w:val="000000"/>
      <w:sz w:val="24"/>
    </w:rPr>
  </w:style>
  <w:style w:type="paragraph" w:styleId="Pidipagina">
    <w:name w:val="footer"/>
    <w:basedOn w:val="Normale"/>
    <w:link w:val="PidipaginaCarattere"/>
    <w:uiPriority w:val="99"/>
    <w:unhideWhenUsed/>
    <w:rsid w:val="0028799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87997"/>
    <w:rPr>
      <w:rFonts w:ascii="Arial" w:eastAsia="Arial" w:hAnsi="Arial" w:cs="Arial"/>
      <w:color w:val="000000"/>
      <w:sz w:val="24"/>
    </w:rPr>
  </w:style>
  <w:style w:type="paragraph" w:styleId="Paragrafoelenco">
    <w:name w:val="List Paragraph"/>
    <w:basedOn w:val="Normale"/>
    <w:uiPriority w:val="34"/>
    <w:qFormat/>
    <w:rsid w:val="006151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4</Pages>
  <Words>1067</Words>
  <Characters>6087</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Notartel</Company>
  <LinksUpToDate>false</LinksUpToDate>
  <CharactersWithSpaces>7140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Wengenmayer, B. (BNotK)</dc:creator>
  <cp:keywords/>
  <cp:lastModifiedBy>Rita Caffelli</cp:lastModifiedBy>
  <cp:revision>15</cp:revision>
  <dcterms:created xsi:type="dcterms:W3CDTF">2020-04-28T14:10:00Z</dcterms:created>
  <dcterms:modified xsi:type="dcterms:W3CDTF">2020-05-11T14:34:00Z</dcterms:modified>
</cp:coreProperties>
</file>