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EEB" w:rsidRPr="005F2EEB" w:rsidRDefault="005F2EEB">
      <w:pPr>
        <w:spacing w:after="277" w:line="259" w:lineRule="auto"/>
        <w:ind w:left="13" w:right="4"/>
        <w:jc w:val="center"/>
        <w:rPr>
          <w:b/>
          <w:u w:val="single" w:color="000000"/>
        </w:rPr>
      </w:pPr>
    </w:p>
    <w:p w:rsidR="005F2EEB" w:rsidRPr="005F2EEB" w:rsidRDefault="005F2EEB">
      <w:pPr>
        <w:spacing w:after="277" w:line="259" w:lineRule="auto"/>
        <w:ind w:left="13" w:right="4"/>
        <w:jc w:val="center"/>
        <w:rPr>
          <w:b/>
          <w:u w:val="single" w:color="000000"/>
        </w:rPr>
      </w:pPr>
    </w:p>
    <w:p w:rsidR="005F2EEB" w:rsidRPr="005F2EEB" w:rsidRDefault="005F2EEB">
      <w:pPr>
        <w:spacing w:after="277" w:line="259" w:lineRule="auto"/>
        <w:ind w:left="13" w:right="4"/>
        <w:jc w:val="center"/>
        <w:rPr>
          <w:b/>
          <w:u w:val="single" w:color="000000"/>
        </w:rPr>
      </w:pPr>
    </w:p>
    <w:p w:rsidR="00443AC7" w:rsidRPr="005F2EEB" w:rsidRDefault="00071703" w:rsidP="005F2EEB">
      <w:pPr>
        <w:spacing w:after="0" w:line="240" w:lineRule="auto"/>
        <w:ind w:left="17" w:right="6" w:hanging="11"/>
        <w:jc w:val="center"/>
        <w:rPr>
          <w:rFonts w:ascii="Cambria" w:hAnsi="Cambria"/>
          <w:b/>
          <w:color w:val="2F5496" w:themeColor="accent5" w:themeShade="BF"/>
          <w:sz w:val="28"/>
          <w:szCs w:val="28"/>
        </w:rPr>
      </w:pPr>
      <w:r w:rsidRPr="005F2EEB">
        <w:rPr>
          <w:rFonts w:ascii="Cambria" w:hAnsi="Cambria"/>
          <w:b/>
          <w:color w:val="2F5496" w:themeColor="accent5" w:themeShade="BF"/>
          <w:sz w:val="28"/>
          <w:szCs w:val="28"/>
        </w:rPr>
        <w:t xml:space="preserve">29° Congresso </w:t>
      </w:r>
      <w:r w:rsidR="005F2EEB" w:rsidRPr="005F2EEB">
        <w:rPr>
          <w:rFonts w:ascii="Cambria" w:hAnsi="Cambria"/>
          <w:b/>
          <w:color w:val="2F5496" w:themeColor="accent5" w:themeShade="BF"/>
          <w:sz w:val="28"/>
          <w:szCs w:val="28"/>
        </w:rPr>
        <w:t xml:space="preserve">Internazionale </w:t>
      </w:r>
      <w:r w:rsidRPr="005F2EEB">
        <w:rPr>
          <w:rFonts w:ascii="Cambria" w:hAnsi="Cambria"/>
          <w:b/>
          <w:color w:val="2F5496" w:themeColor="accent5" w:themeShade="BF"/>
          <w:sz w:val="28"/>
          <w:szCs w:val="28"/>
        </w:rPr>
        <w:t xml:space="preserve">del </w:t>
      </w:r>
      <w:r w:rsidR="005F2EEB" w:rsidRPr="005F2EEB">
        <w:rPr>
          <w:rFonts w:ascii="Cambria" w:hAnsi="Cambria"/>
          <w:b/>
          <w:color w:val="2F5496" w:themeColor="accent5" w:themeShade="BF"/>
          <w:sz w:val="28"/>
          <w:szCs w:val="28"/>
        </w:rPr>
        <w:t xml:space="preserve">Notariato </w:t>
      </w:r>
    </w:p>
    <w:p w:rsidR="005F2EEB" w:rsidRPr="005F2EEB" w:rsidRDefault="005F2EEB" w:rsidP="005F2EEB">
      <w:pPr>
        <w:spacing w:after="277" w:line="320" w:lineRule="exact"/>
        <w:ind w:left="12" w:hanging="11"/>
        <w:jc w:val="center"/>
        <w:rPr>
          <w:rFonts w:ascii="Cambria" w:hAnsi="Cambria"/>
          <w:color w:val="2F5496" w:themeColor="accent5" w:themeShade="BF"/>
          <w:szCs w:val="24"/>
        </w:rPr>
      </w:pPr>
      <w:r w:rsidRPr="005F2EEB">
        <w:rPr>
          <w:rFonts w:ascii="Cambria" w:hAnsi="Cambria"/>
          <w:b/>
          <w:color w:val="2F5496" w:themeColor="accent5" w:themeShade="BF"/>
          <w:szCs w:val="24"/>
        </w:rPr>
        <w:t>Jakarta, Indon</w:t>
      </w:r>
      <w:r>
        <w:rPr>
          <w:rFonts w:ascii="Cambria" w:hAnsi="Cambria"/>
          <w:b/>
          <w:color w:val="2F5496" w:themeColor="accent5" w:themeShade="BF"/>
          <w:szCs w:val="24"/>
        </w:rPr>
        <w:t>esia</w:t>
      </w:r>
      <w:r w:rsidRPr="005F2EEB">
        <w:rPr>
          <w:rFonts w:ascii="Cambria" w:hAnsi="Cambria"/>
          <w:b/>
          <w:color w:val="2F5496" w:themeColor="accent5" w:themeShade="BF"/>
          <w:szCs w:val="24"/>
        </w:rPr>
        <w:t xml:space="preserve"> – 27-30 novembre 2019</w:t>
      </w:r>
    </w:p>
    <w:p w:rsidR="00443AC7" w:rsidRPr="005F2EEB" w:rsidRDefault="00071703">
      <w:pPr>
        <w:spacing w:after="277" w:line="259" w:lineRule="auto"/>
        <w:ind w:left="13" w:right="2"/>
        <w:jc w:val="center"/>
        <w:rPr>
          <w:rFonts w:ascii="Cambria" w:hAnsi="Cambria"/>
          <w:b/>
          <w:color w:val="2F5496" w:themeColor="accent5" w:themeShade="BF"/>
          <w:sz w:val="28"/>
          <w:szCs w:val="28"/>
        </w:rPr>
      </w:pPr>
      <w:r w:rsidRPr="005F2EEB">
        <w:rPr>
          <w:rFonts w:ascii="Cambria" w:hAnsi="Cambria"/>
          <w:b/>
          <w:color w:val="2F5496" w:themeColor="accent5" w:themeShade="BF"/>
          <w:sz w:val="28"/>
          <w:szCs w:val="28"/>
        </w:rPr>
        <w:t>Tem</w:t>
      </w:r>
      <w:r w:rsidR="005F2EEB">
        <w:rPr>
          <w:rFonts w:ascii="Cambria" w:hAnsi="Cambria"/>
          <w:b/>
          <w:color w:val="2F5496" w:themeColor="accent5" w:themeShade="BF"/>
          <w:sz w:val="28"/>
          <w:szCs w:val="28"/>
        </w:rPr>
        <w:t>a I: Validità dei principi del N</w:t>
      </w:r>
      <w:r w:rsidRPr="005F2EEB">
        <w:rPr>
          <w:rFonts w:ascii="Cambria" w:hAnsi="Cambria"/>
          <w:b/>
          <w:color w:val="2F5496" w:themeColor="accent5" w:themeShade="BF"/>
          <w:sz w:val="28"/>
          <w:szCs w:val="28"/>
        </w:rPr>
        <w:t xml:space="preserve">otariato nel XXI secolo </w:t>
      </w:r>
    </w:p>
    <w:p w:rsidR="005F2EEB" w:rsidRPr="005F2EEB" w:rsidRDefault="005F2EEB" w:rsidP="005F2EEB">
      <w:pPr>
        <w:spacing w:after="277" w:line="259" w:lineRule="auto"/>
        <w:ind w:left="13"/>
        <w:jc w:val="center"/>
      </w:pPr>
      <w:r w:rsidRPr="005F2EEB">
        <w:rPr>
          <w:rFonts w:ascii="Cambria" w:hAnsi="Cambria"/>
          <w:b/>
          <w:color w:val="2F5496" w:themeColor="accent5" w:themeShade="BF"/>
          <w:sz w:val="28"/>
          <w:szCs w:val="28"/>
        </w:rPr>
        <w:t xml:space="preserve">CONCLUSIONI </w:t>
      </w:r>
      <w:r w:rsidR="00071703" w:rsidRPr="005F2EEB">
        <w:t xml:space="preserve"> </w:t>
      </w:r>
    </w:p>
    <w:p w:rsidR="00443AC7" w:rsidRPr="005F2EEB" w:rsidRDefault="00A34206">
      <w:pPr>
        <w:spacing w:after="276" w:line="259" w:lineRule="auto"/>
        <w:ind w:left="68" w:firstLine="0"/>
        <w:jc w:val="center"/>
      </w:pPr>
      <w:r>
        <w:pict>
          <v:rect id="_x0000_i1025" style="width:0;height:1.5pt" o:hralign="center" o:hrstd="t" o:hr="t" fillcolor="#a0a0a0" stroked="f"/>
        </w:pict>
      </w:r>
    </w:p>
    <w:p w:rsidR="00443AC7" w:rsidRPr="005F2EEB" w:rsidRDefault="00071703" w:rsidP="005F2EEB">
      <w:pPr>
        <w:spacing w:after="120" w:line="320" w:lineRule="exact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szCs w:val="24"/>
        </w:rPr>
        <w:t xml:space="preserve">I principi del notariato manterranno la propria validità anche nel XXI secolo. Tali principi sono sempre stati e continueranno ad essere adeguati alle mutevoli esigenze della società, rappresentando in tal modo la base affinché il notariato continui a svolgere un ruolo importante. I notai sono stati spesso precursori, promuovendo e contribuendo allo sviluppo e all’innovazione, come è avvenuto ad esempio nel settore delle moderne tecnologie dell’informazione. Ciò consente loro di dimostrare la vitalità futura della loro professione. </w:t>
      </w:r>
    </w:p>
    <w:p w:rsidR="00443AC7" w:rsidRPr="005F2EEB" w:rsidRDefault="00443AC7" w:rsidP="005F2EEB">
      <w:pPr>
        <w:spacing w:after="120" w:line="320" w:lineRule="exact"/>
        <w:ind w:left="0" w:firstLine="0"/>
        <w:jc w:val="both"/>
        <w:rPr>
          <w:rFonts w:asciiTheme="minorHAnsi" w:hAnsiTheme="minorHAnsi" w:cstheme="minorHAnsi"/>
          <w:szCs w:val="24"/>
        </w:rPr>
      </w:pPr>
    </w:p>
    <w:p w:rsidR="00443AC7" w:rsidRPr="005F2EEB" w:rsidRDefault="00071703" w:rsidP="005F2EEB">
      <w:pPr>
        <w:pStyle w:val="Paragrafoelenco"/>
        <w:numPr>
          <w:ilvl w:val="0"/>
          <w:numId w:val="9"/>
        </w:numPr>
        <w:spacing w:after="240" w:line="320" w:lineRule="exact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b/>
          <w:szCs w:val="24"/>
        </w:rPr>
        <w:t xml:space="preserve">In quanto funzionari pubblici, i notai svolgono funzioni di competenza dello Stato. Sono parte dell’autorità giudiziaria e alleggeriscono la giurisdizione contenziosa attraverso un accurato accertamento dei fatti, indagini preliminari e la redazione di documenti volta a prevenire i contenziosi.  </w:t>
      </w:r>
    </w:p>
    <w:p w:rsidR="00443AC7" w:rsidRPr="005F2EEB" w:rsidRDefault="00071703" w:rsidP="005F2EEB">
      <w:pPr>
        <w:numPr>
          <w:ilvl w:val="1"/>
          <w:numId w:val="2"/>
        </w:numPr>
        <w:spacing w:after="120" w:line="320" w:lineRule="exact"/>
        <w:ind w:left="1134" w:hanging="425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szCs w:val="24"/>
        </w:rPr>
        <w:t xml:space="preserve">I notai sono uno “sportello unico” pubblico. Si occupano di numerose fasi procedurali e determinano le informazioni necessarie per un negozio giuridico. Essi assistono ad esempio le controparti nelle operazioni immobiliari o per la costituzione di società, avviano le procedure richieste e le gestiscono nel modo quanto più completo per i cittadini.  </w:t>
      </w:r>
    </w:p>
    <w:p w:rsidR="00443AC7" w:rsidRPr="005F2EEB" w:rsidRDefault="00071703" w:rsidP="005F2EEB">
      <w:pPr>
        <w:numPr>
          <w:ilvl w:val="1"/>
          <w:numId w:val="2"/>
        </w:numPr>
        <w:spacing w:after="120" w:line="320" w:lineRule="exact"/>
        <w:ind w:left="1134" w:hanging="425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szCs w:val="24"/>
        </w:rPr>
        <w:t xml:space="preserve">Attraverso una completa e finale analisi giuridica dei documenti da presentare ai registri pubblici, quali ad esempio il registro catastale o il registro delle imprese, essi svolgono, in qualità di giudici, una funzione di filtro preliminare per detti registri.  </w:t>
      </w:r>
    </w:p>
    <w:p w:rsidR="00443AC7" w:rsidRPr="005F2EEB" w:rsidRDefault="00071703" w:rsidP="00C52524">
      <w:pPr>
        <w:numPr>
          <w:ilvl w:val="1"/>
          <w:numId w:val="2"/>
        </w:numPr>
        <w:spacing w:after="120" w:line="320" w:lineRule="exact"/>
        <w:ind w:left="1134" w:hanging="425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szCs w:val="24"/>
        </w:rPr>
        <w:t xml:space="preserve">In virtù della loro elevata efficacia probatoria e della loro immediata esecutorietà o esecutività, gli atti notarili contribuiscono alla certezza del diritto. La certezza del diritto rappresenta il presupposto per gli investimenti e promuove quindi la crescita economica.  </w:t>
      </w:r>
    </w:p>
    <w:p w:rsidR="00443AC7" w:rsidRPr="005F2EEB" w:rsidRDefault="00071703" w:rsidP="005F2EEB">
      <w:pPr>
        <w:numPr>
          <w:ilvl w:val="1"/>
          <w:numId w:val="2"/>
        </w:numPr>
        <w:spacing w:after="120" w:line="320" w:lineRule="exact"/>
        <w:ind w:left="1134" w:hanging="425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szCs w:val="24"/>
        </w:rPr>
        <w:t xml:space="preserve">Gli obblighi di collaborazione permettono ai notai di svolgere un ruolo importante nella lotta antiriciclaggio, contro il finanziamento del terrorismo e gli illeciti di natura economica.  </w:t>
      </w:r>
    </w:p>
    <w:p w:rsidR="00443AC7" w:rsidRPr="005F2EEB" w:rsidRDefault="00071703" w:rsidP="005F2EEB">
      <w:pPr>
        <w:numPr>
          <w:ilvl w:val="1"/>
          <w:numId w:val="2"/>
        </w:numPr>
        <w:spacing w:after="120" w:line="320" w:lineRule="exact"/>
        <w:ind w:left="1134" w:hanging="425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szCs w:val="24"/>
        </w:rPr>
        <w:lastRenderedPageBreak/>
        <w:t xml:space="preserve">Attraverso i loro obblighi di collaborazione, i notai sollevano lo Stato dall'onere della riscossione delle imposte e garantiscono un’efficace imposizione. </w:t>
      </w:r>
    </w:p>
    <w:p w:rsidR="00443AC7" w:rsidRPr="005F2EEB" w:rsidRDefault="00443AC7" w:rsidP="005F2EEB">
      <w:pPr>
        <w:spacing w:after="120" w:line="320" w:lineRule="exact"/>
        <w:ind w:left="1440" w:firstLine="0"/>
        <w:jc w:val="both"/>
        <w:rPr>
          <w:rFonts w:asciiTheme="minorHAnsi" w:hAnsiTheme="minorHAnsi" w:cstheme="minorHAnsi"/>
          <w:szCs w:val="24"/>
        </w:rPr>
      </w:pPr>
    </w:p>
    <w:p w:rsidR="00443AC7" w:rsidRPr="005F2EEB" w:rsidRDefault="00071703" w:rsidP="005F2EEB">
      <w:pPr>
        <w:spacing w:after="120" w:line="320" w:lineRule="exact"/>
        <w:ind w:left="730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b/>
          <w:szCs w:val="24"/>
        </w:rPr>
        <w:t xml:space="preserve">Il 29° Congresso dell’Unione internazionale del notariato raccomanda pertanto che: </w:t>
      </w:r>
      <w:r w:rsidRPr="005F2EEB">
        <w:rPr>
          <w:rFonts w:asciiTheme="minorHAnsi" w:hAnsiTheme="minorHAnsi" w:cstheme="minorHAnsi"/>
          <w:szCs w:val="24"/>
        </w:rPr>
        <w:t xml:space="preserve"> </w:t>
      </w:r>
    </w:p>
    <w:p w:rsidR="00443AC7" w:rsidRPr="005F2EEB" w:rsidRDefault="00071703" w:rsidP="005F2EEB">
      <w:pPr>
        <w:spacing w:after="120" w:line="320" w:lineRule="exact"/>
        <w:ind w:left="1075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b/>
          <w:szCs w:val="24"/>
        </w:rPr>
        <w:t xml:space="preserve">le seguenti funzioni dei notai siano ulteriormente sviluppate a livello mondiale e che siano introdotte laddove assenti: </w:t>
      </w:r>
    </w:p>
    <w:p w:rsidR="00443AC7" w:rsidRPr="005F2EEB" w:rsidRDefault="00071703" w:rsidP="005F2EEB">
      <w:pPr>
        <w:numPr>
          <w:ilvl w:val="0"/>
          <w:numId w:val="1"/>
        </w:numPr>
        <w:spacing w:after="120" w:line="320" w:lineRule="exact"/>
        <w:ind w:hanging="338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b/>
          <w:szCs w:val="24"/>
        </w:rPr>
        <w:t xml:space="preserve">accorpamento delle fasi procedurali, </w:t>
      </w:r>
    </w:p>
    <w:p w:rsidR="00443AC7" w:rsidRPr="005F2EEB" w:rsidRDefault="00071703" w:rsidP="005F2EEB">
      <w:pPr>
        <w:numPr>
          <w:ilvl w:val="0"/>
          <w:numId w:val="1"/>
        </w:numPr>
        <w:spacing w:after="120" w:line="320" w:lineRule="exact"/>
        <w:ind w:hanging="338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b/>
          <w:szCs w:val="24"/>
        </w:rPr>
        <w:t xml:space="preserve">creazione dei presupposti necessari affinché i registri siano corretti nei contenuti e pertanto affidabili e degni di pubblica fede, </w:t>
      </w:r>
    </w:p>
    <w:p w:rsidR="00443AC7" w:rsidRPr="005F2EEB" w:rsidRDefault="00071703" w:rsidP="005F2EEB">
      <w:pPr>
        <w:numPr>
          <w:ilvl w:val="0"/>
          <w:numId w:val="1"/>
        </w:numPr>
        <w:spacing w:after="120" w:line="320" w:lineRule="exact"/>
        <w:ind w:hanging="338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b/>
          <w:szCs w:val="24"/>
        </w:rPr>
        <w:t xml:space="preserve">alleggerimento della giurisdizione contenziosa e di altri enti pubblici, quali gli uffici tributari e del registro, nonché delle autorità giudiziarie </w:t>
      </w:r>
    </w:p>
    <w:p w:rsidR="00443AC7" w:rsidRPr="005F2EEB" w:rsidRDefault="00071703" w:rsidP="005F2EEB">
      <w:pPr>
        <w:numPr>
          <w:ilvl w:val="0"/>
          <w:numId w:val="1"/>
        </w:numPr>
        <w:spacing w:after="120" w:line="320" w:lineRule="exact"/>
        <w:ind w:hanging="338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b/>
          <w:szCs w:val="24"/>
        </w:rPr>
        <w:t xml:space="preserve">creazione della certezza del diritto attraverso una elevata efficacia probatoria ed esecutorietà degli atti notarili. </w:t>
      </w:r>
    </w:p>
    <w:p w:rsidR="00443AC7" w:rsidRPr="005F2EEB" w:rsidRDefault="00071703" w:rsidP="005F2EEB">
      <w:pPr>
        <w:spacing w:after="120" w:line="320" w:lineRule="exact"/>
        <w:ind w:left="1080" w:firstLine="0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szCs w:val="24"/>
        </w:rPr>
        <w:t xml:space="preserve"> </w:t>
      </w:r>
    </w:p>
    <w:p w:rsidR="00443AC7" w:rsidRPr="005F2EEB" w:rsidRDefault="00071703" w:rsidP="005F2EEB">
      <w:pPr>
        <w:numPr>
          <w:ilvl w:val="0"/>
          <w:numId w:val="3"/>
        </w:numPr>
        <w:spacing w:after="240" w:line="320" w:lineRule="exact"/>
        <w:ind w:hanging="294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b/>
          <w:szCs w:val="24"/>
        </w:rPr>
        <w:t xml:space="preserve">La qualità dell'esercizio della professione notarile e la funzione dell'attività notarile sono garantite da norme giuridiche in materia di accesso alla professione, di esercizio della professione e di definizione della procedura di certificazione. </w:t>
      </w:r>
      <w:r w:rsidRPr="005F2EEB">
        <w:rPr>
          <w:rFonts w:asciiTheme="minorHAnsi" w:hAnsiTheme="minorHAnsi" w:cstheme="minorHAnsi"/>
          <w:szCs w:val="24"/>
        </w:rPr>
        <w:t xml:space="preserve"> </w:t>
      </w:r>
    </w:p>
    <w:p w:rsidR="00443AC7" w:rsidRPr="005F2EEB" w:rsidRDefault="00071703" w:rsidP="005F2EEB">
      <w:pPr>
        <w:numPr>
          <w:ilvl w:val="1"/>
          <w:numId w:val="3"/>
        </w:numPr>
        <w:spacing w:after="120" w:line="320" w:lineRule="exact"/>
        <w:ind w:left="1134" w:hanging="425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szCs w:val="24"/>
        </w:rPr>
        <w:t xml:space="preserve">Poiché i notai sono parte integrante dell’amministrazione della giustizia preventiva e della giurisdizione volontaria e svolgono funzioni statali, le norme deontologiche devono essere definite nel quadro del diritto pubblico.  </w:t>
      </w:r>
    </w:p>
    <w:p w:rsidR="00443AC7" w:rsidRPr="005F2EEB" w:rsidRDefault="00071703" w:rsidP="005F2EEB">
      <w:pPr>
        <w:numPr>
          <w:ilvl w:val="1"/>
          <w:numId w:val="3"/>
        </w:numPr>
        <w:spacing w:after="120" w:line="320" w:lineRule="exact"/>
        <w:ind w:left="1134" w:hanging="425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szCs w:val="24"/>
        </w:rPr>
        <w:t xml:space="preserve">Onde garantire lo svolgimento di funzioni simili ai giudici in qualità di filtro per i registri pubblici e la certezza del diritto per i cittadini che si rivolgono alla giustizia, è necessaria una procedura di certificazione giuridicamente regolamentata.  </w:t>
      </w:r>
    </w:p>
    <w:p w:rsidR="00443AC7" w:rsidRPr="005F2EEB" w:rsidRDefault="00071703" w:rsidP="005F2EEB">
      <w:pPr>
        <w:numPr>
          <w:ilvl w:val="1"/>
          <w:numId w:val="3"/>
        </w:numPr>
        <w:spacing w:after="60" w:line="320" w:lineRule="exact"/>
        <w:ind w:left="1134" w:hanging="425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szCs w:val="24"/>
        </w:rPr>
        <w:t xml:space="preserve">Per garantire  </w:t>
      </w:r>
    </w:p>
    <w:p w:rsidR="00443AC7" w:rsidRPr="005F2EEB" w:rsidRDefault="00071703" w:rsidP="005F2EEB">
      <w:pPr>
        <w:numPr>
          <w:ilvl w:val="2"/>
          <w:numId w:val="3"/>
        </w:numPr>
        <w:spacing w:after="60" w:line="320" w:lineRule="exact"/>
        <w:ind w:left="1418" w:hanging="284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szCs w:val="24"/>
        </w:rPr>
        <w:t xml:space="preserve">l’indipendenza </w:t>
      </w:r>
    </w:p>
    <w:p w:rsidR="00443AC7" w:rsidRPr="005F2EEB" w:rsidRDefault="00071703" w:rsidP="005F2EEB">
      <w:pPr>
        <w:numPr>
          <w:ilvl w:val="2"/>
          <w:numId w:val="3"/>
        </w:numPr>
        <w:spacing w:after="60" w:line="320" w:lineRule="exact"/>
        <w:ind w:left="1418" w:hanging="284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szCs w:val="24"/>
        </w:rPr>
        <w:t xml:space="preserve">l’imparzialità </w:t>
      </w:r>
    </w:p>
    <w:p w:rsidR="00443AC7" w:rsidRPr="005F2EEB" w:rsidRDefault="00071703" w:rsidP="005F2EEB">
      <w:pPr>
        <w:numPr>
          <w:ilvl w:val="2"/>
          <w:numId w:val="3"/>
        </w:numPr>
        <w:spacing w:after="60" w:line="320" w:lineRule="exact"/>
        <w:ind w:left="1418" w:hanging="284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szCs w:val="24"/>
        </w:rPr>
        <w:t xml:space="preserve">l'accesso alla giustizia da parte dei cittadini </w:t>
      </w:r>
    </w:p>
    <w:p w:rsidR="00443AC7" w:rsidRPr="005F2EEB" w:rsidRDefault="00071703" w:rsidP="005F2EEB">
      <w:pPr>
        <w:numPr>
          <w:ilvl w:val="2"/>
          <w:numId w:val="3"/>
        </w:numPr>
        <w:spacing w:after="60" w:line="320" w:lineRule="exact"/>
        <w:ind w:left="1418" w:hanging="284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szCs w:val="24"/>
        </w:rPr>
        <w:t xml:space="preserve">un’assistenza giuridica al massimo livello e </w:t>
      </w:r>
    </w:p>
    <w:p w:rsidR="005F2EEB" w:rsidRDefault="00071703" w:rsidP="005F2EEB">
      <w:pPr>
        <w:numPr>
          <w:ilvl w:val="2"/>
          <w:numId w:val="3"/>
        </w:numPr>
        <w:spacing w:after="60" w:line="320" w:lineRule="exact"/>
        <w:ind w:left="1418" w:hanging="284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szCs w:val="24"/>
        </w:rPr>
        <w:t xml:space="preserve">una procedura regolamentata </w:t>
      </w:r>
    </w:p>
    <w:p w:rsidR="00443AC7" w:rsidRPr="005F2EEB" w:rsidRDefault="00071703" w:rsidP="005F2EEB">
      <w:pPr>
        <w:spacing w:after="60" w:line="320" w:lineRule="exact"/>
        <w:ind w:left="1418" w:firstLine="0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szCs w:val="24"/>
        </w:rPr>
        <w:t>sono necessari</w:t>
      </w:r>
      <w:r w:rsidR="005F2EEB">
        <w:rPr>
          <w:rFonts w:asciiTheme="minorHAnsi" w:hAnsiTheme="minorHAnsi" w:cstheme="minorHAnsi"/>
          <w:szCs w:val="24"/>
        </w:rPr>
        <w:t>:</w:t>
      </w:r>
      <w:r w:rsidRPr="005F2EEB">
        <w:rPr>
          <w:rFonts w:asciiTheme="minorHAnsi" w:hAnsiTheme="minorHAnsi" w:cstheme="minorHAnsi"/>
          <w:szCs w:val="24"/>
        </w:rPr>
        <w:t xml:space="preserve">  </w:t>
      </w:r>
    </w:p>
    <w:p w:rsidR="00443AC7" w:rsidRPr="005F2EEB" w:rsidRDefault="00071703" w:rsidP="005F2EEB">
      <w:pPr>
        <w:numPr>
          <w:ilvl w:val="2"/>
          <w:numId w:val="3"/>
        </w:numPr>
        <w:spacing w:after="60" w:line="320" w:lineRule="exact"/>
        <w:ind w:left="1418" w:hanging="284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szCs w:val="24"/>
        </w:rPr>
        <w:t xml:space="preserve">una procedura di nomina e selezione stabilita a livello di diritto pubblico </w:t>
      </w:r>
    </w:p>
    <w:p w:rsidR="00443AC7" w:rsidRPr="005F2EEB" w:rsidRDefault="00071703" w:rsidP="005F2EEB">
      <w:pPr>
        <w:numPr>
          <w:ilvl w:val="2"/>
          <w:numId w:val="3"/>
        </w:numPr>
        <w:spacing w:after="60" w:line="320" w:lineRule="exact"/>
        <w:ind w:left="1418" w:hanging="284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szCs w:val="24"/>
        </w:rPr>
        <w:t xml:space="preserve">il controllo statale del servizio </w:t>
      </w:r>
    </w:p>
    <w:p w:rsidR="00443AC7" w:rsidRPr="005F2EEB" w:rsidRDefault="00071703" w:rsidP="005F2EEB">
      <w:pPr>
        <w:numPr>
          <w:ilvl w:val="2"/>
          <w:numId w:val="3"/>
        </w:numPr>
        <w:spacing w:after="60" w:line="320" w:lineRule="exact"/>
        <w:ind w:left="1418" w:hanging="284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szCs w:val="24"/>
        </w:rPr>
        <w:t xml:space="preserve">un sistema tariffario normato per legge </w:t>
      </w:r>
    </w:p>
    <w:p w:rsidR="00443AC7" w:rsidRPr="005F2EEB" w:rsidRDefault="00071703" w:rsidP="005F2EEB">
      <w:pPr>
        <w:numPr>
          <w:ilvl w:val="2"/>
          <w:numId w:val="3"/>
        </w:numPr>
        <w:spacing w:after="60" w:line="320" w:lineRule="exact"/>
        <w:ind w:left="1418" w:hanging="284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szCs w:val="24"/>
        </w:rPr>
        <w:t xml:space="preserve">una limitazione degli studi notarili e </w:t>
      </w:r>
    </w:p>
    <w:p w:rsidR="00443AC7" w:rsidRPr="005F2EEB" w:rsidRDefault="00071703" w:rsidP="005F2EEB">
      <w:pPr>
        <w:numPr>
          <w:ilvl w:val="2"/>
          <w:numId w:val="3"/>
        </w:numPr>
        <w:spacing w:after="120" w:line="320" w:lineRule="exact"/>
        <w:ind w:left="1418" w:hanging="284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szCs w:val="24"/>
        </w:rPr>
        <w:t xml:space="preserve">l’obbligo di certificazione.  </w:t>
      </w:r>
    </w:p>
    <w:p w:rsidR="00443AC7" w:rsidRPr="005F2EEB" w:rsidRDefault="00071703" w:rsidP="005F2EEB">
      <w:pPr>
        <w:numPr>
          <w:ilvl w:val="1"/>
          <w:numId w:val="3"/>
        </w:numPr>
        <w:spacing w:after="120" w:line="320" w:lineRule="exact"/>
        <w:ind w:left="1134" w:hanging="425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szCs w:val="24"/>
        </w:rPr>
        <w:lastRenderedPageBreak/>
        <w:t>I notai devono essere “creatori” di diritto e assistenti: l'accertamento della reale volontà degli interessati e la formulazione attiva dei contratti, nonché la tutela dei diritti dei consumatori devono essere obblighi normati dei notai</w:t>
      </w:r>
      <w:r w:rsidRPr="005F2EEB">
        <w:rPr>
          <w:rFonts w:asciiTheme="minorHAnsi" w:hAnsiTheme="minorHAnsi" w:cstheme="minorHAnsi"/>
          <w:i/>
          <w:szCs w:val="24"/>
        </w:rPr>
        <w:t>.</w:t>
      </w:r>
      <w:r w:rsidRPr="005F2EEB">
        <w:rPr>
          <w:rFonts w:asciiTheme="minorHAnsi" w:hAnsiTheme="minorHAnsi" w:cstheme="minorHAnsi"/>
          <w:szCs w:val="24"/>
        </w:rPr>
        <w:t xml:space="preserve"> </w:t>
      </w:r>
    </w:p>
    <w:p w:rsidR="00443AC7" w:rsidRPr="005F2EEB" w:rsidRDefault="00071703" w:rsidP="005F2EEB">
      <w:pPr>
        <w:spacing w:after="120" w:line="320" w:lineRule="exact"/>
        <w:ind w:left="720" w:firstLine="0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szCs w:val="24"/>
        </w:rPr>
        <w:t xml:space="preserve"> </w:t>
      </w:r>
    </w:p>
    <w:p w:rsidR="00443AC7" w:rsidRPr="005F2EEB" w:rsidRDefault="00071703" w:rsidP="003F621B">
      <w:pPr>
        <w:spacing w:after="120" w:line="320" w:lineRule="exact"/>
        <w:ind w:left="730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b/>
          <w:szCs w:val="24"/>
        </w:rPr>
        <w:t xml:space="preserve">Il 29° Congresso dell’Unione internazionale del notariato raccomanda pertanto che: </w:t>
      </w:r>
      <w:r w:rsidRPr="005F2EEB">
        <w:rPr>
          <w:rFonts w:asciiTheme="minorHAnsi" w:hAnsiTheme="minorHAnsi" w:cstheme="minorHAnsi"/>
          <w:szCs w:val="24"/>
        </w:rPr>
        <w:t xml:space="preserve"> </w:t>
      </w:r>
    </w:p>
    <w:p w:rsidR="00443AC7" w:rsidRPr="005F2EEB" w:rsidRDefault="00071703" w:rsidP="005F2EEB">
      <w:pPr>
        <w:spacing w:after="120" w:line="320" w:lineRule="exact"/>
        <w:ind w:left="1075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b/>
          <w:szCs w:val="24"/>
        </w:rPr>
        <w:t xml:space="preserve">le norme professionali e deontologiche, quali ad esempio </w:t>
      </w:r>
    </w:p>
    <w:p w:rsidR="00443AC7" w:rsidRPr="005F2EEB" w:rsidRDefault="00071703" w:rsidP="005F2EEB">
      <w:pPr>
        <w:numPr>
          <w:ilvl w:val="1"/>
          <w:numId w:val="6"/>
        </w:numPr>
        <w:spacing w:after="120" w:line="320" w:lineRule="exact"/>
        <w:ind w:right="211" w:hanging="146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b/>
          <w:szCs w:val="24"/>
        </w:rPr>
        <w:t xml:space="preserve">l’accesso alla professione </w:t>
      </w:r>
    </w:p>
    <w:p w:rsidR="00443AC7" w:rsidRPr="005F2EEB" w:rsidRDefault="00071703" w:rsidP="005F2EEB">
      <w:pPr>
        <w:numPr>
          <w:ilvl w:val="1"/>
          <w:numId w:val="6"/>
        </w:numPr>
        <w:spacing w:after="120" w:line="320" w:lineRule="exact"/>
        <w:ind w:right="211" w:hanging="146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b/>
          <w:szCs w:val="24"/>
        </w:rPr>
        <w:t xml:space="preserve">l’esercizio della professione notarile e la procedura di certificazione siano disciplinate a livello di diritto pubblico. </w:t>
      </w:r>
    </w:p>
    <w:p w:rsidR="00443AC7" w:rsidRPr="005F2EEB" w:rsidRDefault="00071703" w:rsidP="005F2EEB">
      <w:pPr>
        <w:spacing w:after="120" w:line="320" w:lineRule="exact"/>
        <w:ind w:left="1075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b/>
          <w:szCs w:val="24"/>
        </w:rPr>
        <w:t xml:space="preserve">A garanzia dell'autonomia privata, l’accertamento della volontà delle parti deve costituire un elemento cruciale della procedura di certificazione. </w:t>
      </w:r>
    </w:p>
    <w:p w:rsidR="00443AC7" w:rsidRPr="005F2EEB" w:rsidRDefault="00071703" w:rsidP="003F621B">
      <w:pPr>
        <w:spacing w:after="120" w:line="320" w:lineRule="exact"/>
        <w:ind w:left="1080" w:firstLine="0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b/>
          <w:i/>
          <w:szCs w:val="24"/>
        </w:rPr>
        <w:t xml:space="preserve"> </w:t>
      </w:r>
      <w:r w:rsidRPr="005F2EEB">
        <w:rPr>
          <w:rFonts w:asciiTheme="minorHAnsi" w:hAnsiTheme="minorHAnsi" w:cstheme="minorHAnsi"/>
          <w:szCs w:val="24"/>
        </w:rPr>
        <w:t xml:space="preserve"> </w:t>
      </w:r>
    </w:p>
    <w:p w:rsidR="00443AC7" w:rsidRPr="003F621B" w:rsidRDefault="00071703" w:rsidP="003F621B">
      <w:pPr>
        <w:numPr>
          <w:ilvl w:val="0"/>
          <w:numId w:val="3"/>
        </w:numPr>
        <w:spacing w:after="240" w:line="320" w:lineRule="exact"/>
        <w:ind w:left="709" w:hanging="283"/>
        <w:jc w:val="both"/>
        <w:rPr>
          <w:rFonts w:asciiTheme="minorHAnsi" w:hAnsiTheme="minorHAnsi" w:cstheme="minorHAnsi"/>
          <w:szCs w:val="24"/>
        </w:rPr>
      </w:pPr>
      <w:r w:rsidRPr="003F621B">
        <w:rPr>
          <w:rFonts w:asciiTheme="minorHAnsi" w:hAnsiTheme="minorHAnsi" w:cstheme="minorHAnsi"/>
          <w:b/>
          <w:szCs w:val="24"/>
        </w:rPr>
        <w:t xml:space="preserve">L’impiego di nuove tecnologie rappresenta una sfida che i notai sono pronti ad accogliere. </w:t>
      </w:r>
      <w:r w:rsidRPr="003F621B">
        <w:rPr>
          <w:rFonts w:asciiTheme="minorHAnsi" w:hAnsiTheme="minorHAnsi" w:cstheme="minorHAnsi"/>
          <w:szCs w:val="24"/>
        </w:rPr>
        <w:t xml:space="preserve"> </w:t>
      </w:r>
    </w:p>
    <w:p w:rsidR="00443AC7" w:rsidRPr="003F621B" w:rsidRDefault="00071703" w:rsidP="003F621B">
      <w:pPr>
        <w:pStyle w:val="Paragrafoelenco"/>
        <w:numPr>
          <w:ilvl w:val="1"/>
          <w:numId w:val="3"/>
        </w:numPr>
        <w:spacing w:after="60" w:line="320" w:lineRule="exact"/>
        <w:ind w:left="1134" w:hanging="425"/>
        <w:jc w:val="both"/>
        <w:rPr>
          <w:rFonts w:asciiTheme="minorHAnsi" w:hAnsiTheme="minorHAnsi" w:cstheme="minorHAnsi"/>
          <w:szCs w:val="24"/>
        </w:rPr>
      </w:pPr>
      <w:r w:rsidRPr="003F621B">
        <w:rPr>
          <w:rFonts w:asciiTheme="minorHAnsi" w:hAnsiTheme="minorHAnsi" w:cstheme="minorHAnsi"/>
          <w:szCs w:val="24"/>
        </w:rPr>
        <w:t xml:space="preserve">L’implementazione e l’utilizzo delle nuove tecnologie consentono di </w:t>
      </w:r>
    </w:p>
    <w:p w:rsidR="00443AC7" w:rsidRPr="005F2EEB" w:rsidRDefault="00071703" w:rsidP="003F621B">
      <w:pPr>
        <w:numPr>
          <w:ilvl w:val="4"/>
          <w:numId w:val="5"/>
        </w:numPr>
        <w:spacing w:after="60" w:line="320" w:lineRule="exact"/>
        <w:ind w:left="1134" w:firstLine="0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szCs w:val="24"/>
        </w:rPr>
        <w:t xml:space="preserve">migliorare </w:t>
      </w:r>
    </w:p>
    <w:p w:rsidR="00443AC7" w:rsidRPr="005F2EEB" w:rsidRDefault="00071703" w:rsidP="003F621B">
      <w:pPr>
        <w:numPr>
          <w:ilvl w:val="4"/>
          <w:numId w:val="5"/>
        </w:numPr>
        <w:spacing w:after="60" w:line="320" w:lineRule="exact"/>
        <w:ind w:left="1134" w:firstLine="0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szCs w:val="24"/>
        </w:rPr>
        <w:t xml:space="preserve">approfondire e </w:t>
      </w:r>
    </w:p>
    <w:p w:rsidR="00443AC7" w:rsidRPr="003F621B" w:rsidRDefault="00071703" w:rsidP="003F621B">
      <w:pPr>
        <w:numPr>
          <w:ilvl w:val="4"/>
          <w:numId w:val="5"/>
        </w:numPr>
        <w:spacing w:after="120" w:line="320" w:lineRule="exact"/>
        <w:ind w:left="1134" w:firstLine="0"/>
        <w:jc w:val="both"/>
        <w:rPr>
          <w:rFonts w:asciiTheme="minorHAnsi" w:hAnsiTheme="minorHAnsi" w:cstheme="minorHAnsi"/>
          <w:szCs w:val="24"/>
        </w:rPr>
      </w:pPr>
      <w:r w:rsidRPr="003F621B">
        <w:rPr>
          <w:rFonts w:asciiTheme="minorHAnsi" w:hAnsiTheme="minorHAnsi" w:cstheme="minorHAnsi"/>
          <w:szCs w:val="24"/>
        </w:rPr>
        <w:t xml:space="preserve">sviluppare ulteriormente i servizi giuridici prestati dai notai.  </w:t>
      </w:r>
    </w:p>
    <w:p w:rsidR="00443AC7" w:rsidRPr="003F621B" w:rsidRDefault="00071703" w:rsidP="003F621B">
      <w:pPr>
        <w:numPr>
          <w:ilvl w:val="3"/>
          <w:numId w:val="4"/>
        </w:numPr>
        <w:spacing w:after="120" w:line="320" w:lineRule="exact"/>
        <w:ind w:left="1134" w:hanging="425"/>
        <w:jc w:val="both"/>
        <w:rPr>
          <w:rFonts w:asciiTheme="minorHAnsi" w:hAnsiTheme="minorHAnsi" w:cstheme="minorHAnsi"/>
          <w:szCs w:val="24"/>
        </w:rPr>
      </w:pPr>
      <w:r w:rsidRPr="003F621B">
        <w:rPr>
          <w:rFonts w:asciiTheme="minorHAnsi" w:hAnsiTheme="minorHAnsi" w:cstheme="minorHAnsi"/>
          <w:szCs w:val="24"/>
        </w:rPr>
        <w:t xml:space="preserve">I notai sono aperti alle nuove tecnologie. In tal senso vanno sempre adottati i più stringenti standard di sicurezza.  </w:t>
      </w:r>
    </w:p>
    <w:p w:rsidR="00443AC7" w:rsidRPr="005F2EEB" w:rsidRDefault="00071703" w:rsidP="003F621B">
      <w:pPr>
        <w:numPr>
          <w:ilvl w:val="3"/>
          <w:numId w:val="4"/>
        </w:numPr>
        <w:spacing w:after="120" w:line="320" w:lineRule="exact"/>
        <w:ind w:left="1134" w:hanging="425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szCs w:val="24"/>
        </w:rPr>
        <w:t xml:space="preserve">I consigli notarili devono farsi precursori e stimolare, promuovere ed eventualmente fare propri progetti nuovi e innovativi, quali ad esempio archivi notarili o registri centralizzati. </w:t>
      </w:r>
    </w:p>
    <w:p w:rsidR="00443AC7" w:rsidRPr="005F2EEB" w:rsidRDefault="00071703" w:rsidP="005F2EEB">
      <w:pPr>
        <w:spacing w:after="120" w:line="320" w:lineRule="exact"/>
        <w:ind w:left="1440" w:firstLine="0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szCs w:val="24"/>
        </w:rPr>
        <w:t xml:space="preserve"> </w:t>
      </w:r>
    </w:p>
    <w:p w:rsidR="00443AC7" w:rsidRPr="005F2EEB" w:rsidRDefault="00071703" w:rsidP="003F621B">
      <w:pPr>
        <w:spacing w:after="120" w:line="320" w:lineRule="exact"/>
        <w:ind w:left="730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b/>
          <w:szCs w:val="24"/>
        </w:rPr>
        <w:t xml:space="preserve">Il 29° Congresso dell’Unione internazionale del notariato raccomanda pertanto che: </w:t>
      </w:r>
      <w:r w:rsidRPr="005F2EEB">
        <w:rPr>
          <w:rFonts w:asciiTheme="minorHAnsi" w:hAnsiTheme="minorHAnsi" w:cstheme="minorHAnsi"/>
          <w:szCs w:val="24"/>
        </w:rPr>
        <w:t xml:space="preserve"> </w:t>
      </w:r>
    </w:p>
    <w:p w:rsidR="00443AC7" w:rsidRPr="005F2EEB" w:rsidRDefault="00071703" w:rsidP="005F2EEB">
      <w:pPr>
        <w:spacing w:after="120" w:line="320" w:lineRule="exact"/>
        <w:ind w:left="1075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b/>
          <w:szCs w:val="24"/>
        </w:rPr>
        <w:t xml:space="preserve">i notai siano aperti all’uso delle moderne tecnologie dell’informazione. Essi devono sfruttare i vantaggi offerti da tali tecnologie nella prestazione dei loro servizi, avendo in tal senso sempre cura di assicurare i massimi standard di sicurezza. </w:t>
      </w:r>
    </w:p>
    <w:p w:rsidR="00A34206" w:rsidRDefault="00071703" w:rsidP="005F2EEB">
      <w:pPr>
        <w:spacing w:after="120" w:line="320" w:lineRule="exact"/>
        <w:ind w:left="1080" w:firstLine="0"/>
        <w:jc w:val="both"/>
        <w:rPr>
          <w:rFonts w:asciiTheme="minorHAnsi" w:hAnsiTheme="minorHAnsi" w:cstheme="minorHAnsi"/>
          <w:i/>
          <w:szCs w:val="24"/>
        </w:rPr>
      </w:pPr>
      <w:r w:rsidRPr="005F2EEB">
        <w:rPr>
          <w:rFonts w:asciiTheme="minorHAnsi" w:hAnsiTheme="minorHAnsi" w:cstheme="minorHAnsi"/>
          <w:i/>
          <w:szCs w:val="24"/>
        </w:rPr>
        <w:t xml:space="preserve"> </w:t>
      </w:r>
    </w:p>
    <w:p w:rsidR="00A34206" w:rsidRDefault="00A34206">
      <w:pPr>
        <w:spacing w:after="160" w:line="259" w:lineRule="auto"/>
        <w:ind w:left="0" w:firstLine="0"/>
        <w:rPr>
          <w:rFonts w:asciiTheme="minorHAnsi" w:hAnsiTheme="minorHAnsi" w:cstheme="minorHAnsi"/>
          <w:i/>
          <w:szCs w:val="24"/>
        </w:rPr>
      </w:pPr>
      <w:r>
        <w:rPr>
          <w:rFonts w:asciiTheme="minorHAnsi" w:hAnsiTheme="minorHAnsi" w:cstheme="minorHAnsi"/>
          <w:i/>
          <w:szCs w:val="24"/>
        </w:rPr>
        <w:br w:type="page"/>
      </w:r>
    </w:p>
    <w:p w:rsidR="00443AC7" w:rsidRPr="003F621B" w:rsidRDefault="00071703" w:rsidP="003F621B">
      <w:pPr>
        <w:numPr>
          <w:ilvl w:val="0"/>
          <w:numId w:val="3"/>
        </w:numPr>
        <w:spacing w:after="120" w:line="320" w:lineRule="exact"/>
        <w:ind w:hanging="294"/>
        <w:jc w:val="both"/>
        <w:rPr>
          <w:rFonts w:asciiTheme="minorHAnsi" w:hAnsiTheme="minorHAnsi" w:cstheme="minorHAnsi"/>
          <w:szCs w:val="24"/>
        </w:rPr>
      </w:pPr>
      <w:bookmarkStart w:id="0" w:name="_GoBack"/>
      <w:bookmarkEnd w:id="0"/>
      <w:r w:rsidRPr="003F621B">
        <w:rPr>
          <w:rFonts w:asciiTheme="minorHAnsi" w:hAnsiTheme="minorHAnsi" w:cstheme="minorHAnsi"/>
          <w:b/>
          <w:szCs w:val="24"/>
        </w:rPr>
        <w:lastRenderedPageBreak/>
        <w:t xml:space="preserve">La globalizzazione porta a contatti sempre più frequenti con ordinamenti giuridici diversi e con organizzazioni internazionali che fanno riferimento alla Common Law. </w:t>
      </w:r>
      <w:r w:rsidRPr="003F621B">
        <w:rPr>
          <w:rFonts w:asciiTheme="minorHAnsi" w:hAnsiTheme="minorHAnsi" w:cstheme="minorHAnsi"/>
          <w:szCs w:val="24"/>
        </w:rPr>
        <w:t xml:space="preserve"> </w:t>
      </w:r>
    </w:p>
    <w:p w:rsidR="00443AC7" w:rsidRPr="003F621B" w:rsidRDefault="00071703" w:rsidP="003F621B">
      <w:pPr>
        <w:numPr>
          <w:ilvl w:val="0"/>
          <w:numId w:val="7"/>
        </w:numPr>
        <w:spacing w:after="120" w:line="320" w:lineRule="exact"/>
        <w:ind w:left="1134" w:hanging="425"/>
        <w:jc w:val="both"/>
        <w:rPr>
          <w:rFonts w:asciiTheme="minorHAnsi" w:hAnsiTheme="minorHAnsi" w:cstheme="minorHAnsi"/>
          <w:szCs w:val="24"/>
        </w:rPr>
      </w:pPr>
      <w:r w:rsidRPr="003F621B">
        <w:rPr>
          <w:rFonts w:asciiTheme="minorHAnsi" w:hAnsiTheme="minorHAnsi" w:cstheme="minorHAnsi"/>
          <w:szCs w:val="24"/>
        </w:rPr>
        <w:t xml:space="preserve">Alla luce delle differenze talvolta evidenti già a livello di diritto materiale, il riferimento a elementi della Common Law può portare a incoerenze e contrasti negli ordinamenti di diritto civile.  </w:t>
      </w:r>
    </w:p>
    <w:p w:rsidR="00443AC7" w:rsidRPr="003F621B" w:rsidRDefault="00071703" w:rsidP="003F621B">
      <w:pPr>
        <w:numPr>
          <w:ilvl w:val="0"/>
          <w:numId w:val="7"/>
        </w:numPr>
        <w:spacing w:after="120" w:line="320" w:lineRule="exact"/>
        <w:ind w:left="1134" w:hanging="425"/>
        <w:jc w:val="both"/>
        <w:rPr>
          <w:rFonts w:asciiTheme="minorHAnsi" w:hAnsiTheme="minorHAnsi" w:cstheme="minorHAnsi"/>
          <w:szCs w:val="24"/>
        </w:rPr>
      </w:pPr>
      <w:r w:rsidRPr="003F621B">
        <w:rPr>
          <w:rFonts w:asciiTheme="minorHAnsi" w:hAnsiTheme="minorHAnsi" w:cstheme="minorHAnsi"/>
          <w:szCs w:val="24"/>
        </w:rPr>
        <w:t xml:space="preserve">Nella Common Law non esistono norme per la tutela dei consumatori nella formulazione dei contratti, analoghe a quelle previste dal diritto civile. La tutela dei consumatori dipende dalle norme in materia di risarcimento danni e di responsabilità civile. Tali diritti devono essere fatti valere giudizialmente e il rischio è a carico del consumatore.  </w:t>
      </w:r>
    </w:p>
    <w:p w:rsidR="00443AC7" w:rsidRPr="003F621B" w:rsidRDefault="00071703" w:rsidP="003F621B">
      <w:pPr>
        <w:numPr>
          <w:ilvl w:val="0"/>
          <w:numId w:val="7"/>
        </w:numPr>
        <w:spacing w:after="120" w:line="320" w:lineRule="exact"/>
        <w:ind w:left="1134" w:hanging="425"/>
        <w:jc w:val="both"/>
        <w:rPr>
          <w:rFonts w:asciiTheme="minorHAnsi" w:hAnsiTheme="minorHAnsi" w:cstheme="minorHAnsi"/>
          <w:szCs w:val="24"/>
        </w:rPr>
      </w:pPr>
      <w:r w:rsidRPr="003F621B">
        <w:rPr>
          <w:rFonts w:asciiTheme="minorHAnsi" w:hAnsiTheme="minorHAnsi" w:cstheme="minorHAnsi"/>
          <w:szCs w:val="24"/>
        </w:rPr>
        <w:t xml:space="preserve">Nel diritto dell’Europa continentale e nell’amministrazione della giustizia preventiva il consumatore è tutelato a priori. I danni sono esclusi se il contratto è formulato in conformità alla legge, come garantito dal notaio.  </w:t>
      </w:r>
    </w:p>
    <w:p w:rsidR="00443AC7" w:rsidRPr="003F621B" w:rsidRDefault="00071703" w:rsidP="003F621B">
      <w:pPr>
        <w:numPr>
          <w:ilvl w:val="0"/>
          <w:numId w:val="7"/>
        </w:numPr>
        <w:spacing w:after="120" w:line="320" w:lineRule="exact"/>
        <w:ind w:left="1134" w:hanging="425"/>
        <w:jc w:val="both"/>
        <w:rPr>
          <w:rFonts w:asciiTheme="minorHAnsi" w:hAnsiTheme="minorHAnsi" w:cstheme="minorHAnsi"/>
          <w:szCs w:val="24"/>
        </w:rPr>
      </w:pPr>
      <w:r w:rsidRPr="003F621B">
        <w:rPr>
          <w:rFonts w:asciiTheme="minorHAnsi" w:hAnsiTheme="minorHAnsi" w:cstheme="minorHAnsi"/>
          <w:szCs w:val="24"/>
        </w:rPr>
        <w:t xml:space="preserve">Nel quadro della Common Law, i registri (i registri catastali e i registri delle imprese) servono unicamente a scopo informativo e non sono garanzia di correttezza. Nessuno risponde di eventuali registrazioni mendaci, poiché chiunque può presentare domanda. Nel quadro del diritto dell’Europa continentale i notai, purché ne abbiano la competenza, garantiscono la correttezza dei registri pubblici e chiunque può fare affidamento su di essi.  </w:t>
      </w:r>
    </w:p>
    <w:p w:rsidR="00443AC7" w:rsidRPr="005F2EEB" w:rsidRDefault="00071703" w:rsidP="003F621B">
      <w:pPr>
        <w:numPr>
          <w:ilvl w:val="0"/>
          <w:numId w:val="7"/>
        </w:numPr>
        <w:spacing w:after="120" w:line="320" w:lineRule="exact"/>
        <w:ind w:left="1134" w:hanging="425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szCs w:val="24"/>
        </w:rPr>
        <w:t xml:space="preserve">La legislazione nazionale dovrebbe consentire ai notai di redigere gli atti non soltanto nella lingua nazionale, ma anche in tutte le lingue di cui hanno padronanza. </w:t>
      </w:r>
    </w:p>
    <w:p w:rsidR="00443AC7" w:rsidRPr="005F2EEB" w:rsidRDefault="00071703" w:rsidP="005F2EEB">
      <w:pPr>
        <w:spacing w:after="120" w:line="320" w:lineRule="exact"/>
        <w:ind w:left="1440" w:firstLine="0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szCs w:val="24"/>
        </w:rPr>
        <w:t xml:space="preserve"> </w:t>
      </w:r>
    </w:p>
    <w:p w:rsidR="00443AC7" w:rsidRPr="005F2EEB" w:rsidRDefault="00071703" w:rsidP="003F621B">
      <w:pPr>
        <w:spacing w:after="120" w:line="320" w:lineRule="exact"/>
        <w:ind w:left="730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b/>
          <w:szCs w:val="24"/>
        </w:rPr>
        <w:t xml:space="preserve">Il 29° Congresso dell’Unione internazionale del notariato raccomanda pertanto che: </w:t>
      </w:r>
      <w:r w:rsidRPr="005F2EEB">
        <w:rPr>
          <w:rFonts w:asciiTheme="minorHAnsi" w:hAnsiTheme="minorHAnsi" w:cstheme="minorHAnsi"/>
          <w:szCs w:val="24"/>
        </w:rPr>
        <w:t xml:space="preserve"> </w:t>
      </w:r>
    </w:p>
    <w:p w:rsidR="00443AC7" w:rsidRPr="005F2EEB" w:rsidRDefault="00071703" w:rsidP="005F2EEB">
      <w:pPr>
        <w:spacing w:after="120" w:line="320" w:lineRule="exact"/>
        <w:ind w:left="1075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b/>
          <w:szCs w:val="24"/>
        </w:rPr>
        <w:t xml:space="preserve">i notai e i consigli notarili facciano conoscere alle organizzazioni internazionali il sistema di notariato latino e l’importanza dell'amministrazione della giustizia preventiva. È necessario in tal senso evidenziare che </w:t>
      </w:r>
    </w:p>
    <w:p w:rsidR="00443AC7" w:rsidRPr="005F2EEB" w:rsidRDefault="00071703" w:rsidP="005F2EEB">
      <w:pPr>
        <w:numPr>
          <w:ilvl w:val="0"/>
          <w:numId w:val="8"/>
        </w:numPr>
        <w:spacing w:after="120" w:line="320" w:lineRule="exact"/>
        <w:ind w:hanging="360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b/>
          <w:szCs w:val="24"/>
        </w:rPr>
        <w:t xml:space="preserve">devono essere evitati i sistemi misti nel diritto materiale, alla luce delle incoerenze e dei contrasti ad essi inevitabilmente associati e </w:t>
      </w:r>
    </w:p>
    <w:p w:rsidR="00443AC7" w:rsidRPr="005F2EEB" w:rsidRDefault="00071703" w:rsidP="005F2EEB">
      <w:pPr>
        <w:numPr>
          <w:ilvl w:val="0"/>
          <w:numId w:val="8"/>
        </w:numPr>
        <w:spacing w:after="120" w:line="320" w:lineRule="exact"/>
        <w:ind w:hanging="360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b/>
          <w:szCs w:val="24"/>
        </w:rPr>
        <w:t xml:space="preserve">che spetta unicamente ai notai creare i presupposti per la registrazione, al fine di assicurare la realizzazione e la gestione di registri pubblici affidabili. </w:t>
      </w:r>
    </w:p>
    <w:p w:rsidR="00443AC7" w:rsidRDefault="00071703" w:rsidP="005F2EEB">
      <w:pPr>
        <w:spacing w:after="120" w:line="320" w:lineRule="exact"/>
        <w:ind w:left="0" w:firstLine="0"/>
        <w:jc w:val="both"/>
        <w:rPr>
          <w:rFonts w:asciiTheme="minorHAnsi" w:hAnsiTheme="minorHAnsi" w:cstheme="minorHAnsi"/>
          <w:szCs w:val="24"/>
        </w:rPr>
      </w:pPr>
      <w:r w:rsidRPr="005F2EEB">
        <w:rPr>
          <w:rFonts w:asciiTheme="minorHAnsi" w:hAnsiTheme="minorHAnsi" w:cstheme="minorHAnsi"/>
          <w:szCs w:val="24"/>
        </w:rPr>
        <w:t xml:space="preserve"> </w:t>
      </w:r>
    </w:p>
    <w:p w:rsidR="003F621B" w:rsidRPr="00C84ED7" w:rsidRDefault="003F621B" w:rsidP="003F621B">
      <w:pPr>
        <w:pStyle w:val="Paragrafoelenco"/>
        <w:spacing w:after="120" w:line="320" w:lineRule="exact"/>
        <w:ind w:firstLine="0"/>
        <w:jc w:val="center"/>
        <w:rPr>
          <w:rFonts w:asciiTheme="minorHAnsi" w:hAnsiTheme="minorHAnsi" w:cstheme="minorHAnsi"/>
          <w:szCs w:val="24"/>
          <w:lang w:val="fr-FR"/>
        </w:rPr>
      </w:pPr>
      <w:r w:rsidRPr="00C84ED7">
        <w:rPr>
          <w:rFonts w:asciiTheme="minorHAnsi" w:hAnsiTheme="minorHAnsi" w:cstheme="minorHAnsi"/>
          <w:b/>
          <w:szCs w:val="24"/>
          <w:lang w:val="de-DE"/>
        </w:rPr>
        <w:t>-∞-∞-∞-</w:t>
      </w:r>
    </w:p>
    <w:p w:rsidR="003F621B" w:rsidRPr="005F2EEB" w:rsidRDefault="003F621B" w:rsidP="005F2EEB">
      <w:pPr>
        <w:spacing w:after="120" w:line="320" w:lineRule="exact"/>
        <w:ind w:left="0" w:firstLine="0"/>
        <w:jc w:val="both"/>
        <w:rPr>
          <w:rFonts w:asciiTheme="minorHAnsi" w:hAnsiTheme="minorHAnsi" w:cstheme="minorHAnsi"/>
          <w:szCs w:val="24"/>
        </w:rPr>
      </w:pPr>
    </w:p>
    <w:sectPr w:rsidR="003F621B" w:rsidRPr="005F2EEB" w:rsidSect="005F2E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23" w:right="1418" w:bottom="1191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EEB" w:rsidRDefault="005F2EEB" w:rsidP="005F2EEB">
      <w:pPr>
        <w:spacing w:after="0" w:line="240" w:lineRule="auto"/>
      </w:pPr>
      <w:r>
        <w:separator/>
      </w:r>
    </w:p>
  </w:endnote>
  <w:endnote w:type="continuationSeparator" w:id="0">
    <w:p w:rsidR="005F2EEB" w:rsidRDefault="005F2EEB" w:rsidP="005F2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B60" w:rsidRDefault="007E6B6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EEB" w:rsidRDefault="007E6B60" w:rsidP="005F2EEB">
    <w:pPr>
      <w:pStyle w:val="Pidipagina"/>
      <w:jc w:val="right"/>
    </w:pPr>
    <w:proofErr w:type="spellStart"/>
    <w:r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en-GB"/>
      </w:rPr>
      <w:t>Traduzione</w:t>
    </w:r>
    <w:proofErr w:type="spellEnd"/>
    <w:r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en-GB"/>
      </w:rPr>
      <w:t xml:space="preserve"> </w:t>
    </w:r>
    <w:proofErr w:type="spellStart"/>
    <w:r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en-GB"/>
      </w:rPr>
      <w:t>italiano</w:t>
    </w:r>
    <w:proofErr w:type="spellEnd"/>
    <w:r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en-GB"/>
      </w:rPr>
      <w:t xml:space="preserve"> – </w:t>
    </w:r>
    <w:proofErr w:type="spellStart"/>
    <w:r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en-GB"/>
      </w:rPr>
      <w:t>Versione</w:t>
    </w:r>
    <w:proofErr w:type="spellEnd"/>
    <w:r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en-GB"/>
      </w:rPr>
      <w:t xml:space="preserve"> </w:t>
    </w:r>
    <w:proofErr w:type="spellStart"/>
    <w:r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en-GB"/>
      </w:rPr>
      <w:t>originale</w:t>
    </w:r>
    <w:proofErr w:type="spellEnd"/>
    <w:r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en-GB"/>
      </w:rPr>
      <w:t xml:space="preserve"> </w:t>
    </w:r>
    <w:proofErr w:type="spellStart"/>
    <w:r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en-GB"/>
      </w:rPr>
      <w:t>tedesco</w:t>
    </w:r>
    <w:proofErr w:type="spellEnd"/>
    <w:r>
      <w:t xml:space="preserve"> </w:t>
    </w:r>
    <w:r>
      <w:tab/>
    </w:r>
    <w:r>
      <w:tab/>
    </w:r>
    <w:sdt>
      <w:sdtPr>
        <w:id w:val="-225834838"/>
        <w:docPartObj>
          <w:docPartGallery w:val="Page Numbers (Bottom of Page)"/>
          <w:docPartUnique/>
        </w:docPartObj>
      </w:sdtPr>
      <w:sdtEndPr/>
      <w:sdtContent>
        <w:r w:rsidR="005F2EEB">
          <w:fldChar w:fldCharType="begin"/>
        </w:r>
        <w:r w:rsidR="005F2EEB">
          <w:instrText>PAGE   \* MERGEFORMAT</w:instrText>
        </w:r>
        <w:r w:rsidR="005F2EEB">
          <w:fldChar w:fldCharType="separate"/>
        </w:r>
        <w:r w:rsidR="00A34206">
          <w:rPr>
            <w:noProof/>
          </w:rPr>
          <w:t>4</w:t>
        </w:r>
        <w:r w:rsidR="005F2EEB"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EEB" w:rsidRDefault="007E6B60" w:rsidP="005F2EEB">
    <w:pPr>
      <w:pStyle w:val="Pidipagina"/>
      <w:jc w:val="right"/>
    </w:pPr>
    <w:proofErr w:type="spellStart"/>
    <w:r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en-GB"/>
      </w:rPr>
      <w:t>Traduzione</w:t>
    </w:r>
    <w:proofErr w:type="spellEnd"/>
    <w:r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en-GB"/>
      </w:rPr>
      <w:t xml:space="preserve"> </w:t>
    </w:r>
    <w:proofErr w:type="spellStart"/>
    <w:r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en-GB"/>
      </w:rPr>
      <w:t>italiano</w:t>
    </w:r>
    <w:proofErr w:type="spellEnd"/>
    <w:r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en-GB"/>
      </w:rPr>
      <w:t xml:space="preserve"> – </w:t>
    </w:r>
    <w:proofErr w:type="spellStart"/>
    <w:r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en-GB"/>
      </w:rPr>
      <w:t>Versione</w:t>
    </w:r>
    <w:proofErr w:type="spellEnd"/>
    <w:r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en-GB"/>
      </w:rPr>
      <w:t xml:space="preserve"> </w:t>
    </w:r>
    <w:proofErr w:type="spellStart"/>
    <w:r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en-GB"/>
      </w:rPr>
      <w:t>originale</w:t>
    </w:r>
    <w:proofErr w:type="spellEnd"/>
    <w:r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en-GB"/>
      </w:rPr>
      <w:t xml:space="preserve"> </w:t>
    </w:r>
    <w:proofErr w:type="spellStart"/>
    <w:r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en-GB"/>
      </w:rPr>
      <w:t>tedesco</w:t>
    </w:r>
    <w:proofErr w:type="spellEnd"/>
    <w:r>
      <w:tab/>
    </w:r>
    <w:r>
      <w:tab/>
    </w:r>
    <w:sdt>
      <w:sdtPr>
        <w:id w:val="285322007"/>
        <w:docPartObj>
          <w:docPartGallery w:val="Page Numbers (Bottom of Page)"/>
          <w:docPartUnique/>
        </w:docPartObj>
      </w:sdtPr>
      <w:sdtEndPr/>
      <w:sdtContent>
        <w:r w:rsidR="005F2EEB">
          <w:fldChar w:fldCharType="begin"/>
        </w:r>
        <w:r w:rsidR="005F2EEB">
          <w:instrText>PAGE   \* MERGEFORMAT</w:instrText>
        </w:r>
        <w:r w:rsidR="005F2EEB">
          <w:fldChar w:fldCharType="separate"/>
        </w:r>
        <w:r w:rsidR="00A34206">
          <w:rPr>
            <w:noProof/>
          </w:rPr>
          <w:t>1</w:t>
        </w:r>
        <w:r w:rsidR="005F2EEB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EEB" w:rsidRDefault="005F2EEB" w:rsidP="005F2EEB">
      <w:pPr>
        <w:spacing w:after="0" w:line="240" w:lineRule="auto"/>
      </w:pPr>
      <w:r>
        <w:separator/>
      </w:r>
    </w:p>
  </w:footnote>
  <w:footnote w:type="continuationSeparator" w:id="0">
    <w:p w:rsidR="005F2EEB" w:rsidRDefault="005F2EEB" w:rsidP="005F2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B60" w:rsidRDefault="007E6B6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EEB" w:rsidRPr="005F2EEB" w:rsidRDefault="005F2EEB" w:rsidP="005F2EEB">
    <w:pPr>
      <w:spacing w:after="0" w:line="240" w:lineRule="auto"/>
      <w:ind w:left="17" w:right="6" w:hanging="11"/>
      <w:jc w:val="center"/>
      <w:rPr>
        <w:rFonts w:ascii="Cambria" w:hAnsi="Cambria"/>
        <w:b/>
        <w:color w:val="2F5496" w:themeColor="accent5" w:themeShade="BF"/>
        <w:sz w:val="22"/>
      </w:rPr>
    </w:pPr>
    <w:r w:rsidRPr="005F2EEB">
      <w:rPr>
        <w:rFonts w:ascii="Cambria" w:hAnsi="Cambria"/>
        <w:b/>
        <w:color w:val="2F5496" w:themeColor="accent5" w:themeShade="BF"/>
        <w:sz w:val="22"/>
      </w:rPr>
      <w:t xml:space="preserve">29° Congresso Internazionale del Notariato </w:t>
    </w:r>
  </w:p>
  <w:p w:rsidR="005F2EEB" w:rsidRPr="005F2EEB" w:rsidRDefault="005F2EEB" w:rsidP="005F2EEB">
    <w:pPr>
      <w:spacing w:after="120" w:line="240" w:lineRule="auto"/>
      <w:ind w:left="11" w:hanging="11"/>
      <w:jc w:val="center"/>
      <w:rPr>
        <w:rFonts w:ascii="Cambria" w:hAnsi="Cambria"/>
        <w:color w:val="2F5496" w:themeColor="accent5" w:themeShade="BF"/>
        <w:sz w:val="22"/>
      </w:rPr>
    </w:pPr>
    <w:r w:rsidRPr="005F2EEB">
      <w:rPr>
        <w:rFonts w:ascii="Cambria" w:hAnsi="Cambria"/>
        <w:b/>
        <w:color w:val="2F5496" w:themeColor="accent5" w:themeShade="BF"/>
        <w:sz w:val="22"/>
      </w:rPr>
      <w:t>Jakarta, Indonesia – 27-30 novembre 2019</w:t>
    </w:r>
  </w:p>
  <w:p w:rsidR="005F2EEB" w:rsidRPr="005F2EEB" w:rsidRDefault="005F2EEB" w:rsidP="005F2EEB">
    <w:pPr>
      <w:spacing w:after="0" w:line="240" w:lineRule="auto"/>
      <w:ind w:left="13" w:right="2"/>
      <w:jc w:val="center"/>
      <w:rPr>
        <w:rFonts w:ascii="Cambria" w:hAnsi="Cambria"/>
        <w:b/>
        <w:color w:val="2F5496" w:themeColor="accent5" w:themeShade="BF"/>
        <w:sz w:val="22"/>
      </w:rPr>
    </w:pPr>
    <w:r w:rsidRPr="005F2EEB">
      <w:rPr>
        <w:rFonts w:ascii="Cambria" w:hAnsi="Cambria"/>
        <w:b/>
        <w:color w:val="2F5496" w:themeColor="accent5" w:themeShade="BF"/>
        <w:sz w:val="22"/>
      </w:rPr>
      <w:t xml:space="preserve">Tema I: Validità dei principi del Notariato nel XXI secolo </w:t>
    </w:r>
  </w:p>
  <w:p w:rsidR="005F2EEB" w:rsidRPr="005F2EEB" w:rsidRDefault="005F2EEB" w:rsidP="005F2EEB">
    <w:pPr>
      <w:spacing w:after="0" w:line="240" w:lineRule="auto"/>
      <w:ind w:left="13"/>
      <w:jc w:val="center"/>
      <w:rPr>
        <w:sz w:val="22"/>
      </w:rPr>
    </w:pPr>
    <w:r w:rsidRPr="005F2EEB">
      <w:rPr>
        <w:rFonts w:ascii="Cambria" w:hAnsi="Cambria"/>
        <w:b/>
        <w:color w:val="2F5496" w:themeColor="accent5" w:themeShade="BF"/>
        <w:sz w:val="22"/>
      </w:rPr>
      <w:t xml:space="preserve">CONCLUSIONI </w:t>
    </w:r>
    <w:r w:rsidRPr="005F2EEB">
      <w:rPr>
        <w:sz w:val="22"/>
      </w:rPr>
      <w:t xml:space="preserve"> </w:t>
    </w:r>
  </w:p>
  <w:p w:rsidR="005F2EEB" w:rsidRDefault="005F2EE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EEB" w:rsidRDefault="005F2EEB" w:rsidP="005F2EEB">
    <w:r>
      <w:rPr>
        <w:noProof/>
      </w:rPr>
      <w:drawing>
        <wp:anchor distT="0" distB="0" distL="114300" distR="114300" simplePos="0" relativeHeight="251660288" behindDoc="1" locked="0" layoutInCell="1" allowOverlap="1" wp14:anchorId="3270634C" wp14:editId="1C9E35E0">
          <wp:simplePos x="0" y="0"/>
          <wp:positionH relativeFrom="margin">
            <wp:align>left</wp:align>
          </wp:positionH>
          <wp:positionV relativeFrom="paragraph">
            <wp:posOffset>-98547</wp:posOffset>
          </wp:positionV>
          <wp:extent cx="2444683" cy="1021715"/>
          <wp:effectExtent l="0" t="0" r="0" b="6985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UINL 3LI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44683" cy="1021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7C858EFD" wp14:editId="2ACB7E17">
          <wp:simplePos x="0" y="0"/>
          <wp:positionH relativeFrom="margin">
            <wp:posOffset>3632515</wp:posOffset>
          </wp:positionH>
          <wp:positionV relativeFrom="paragraph">
            <wp:posOffset>-242544</wp:posOffset>
          </wp:positionV>
          <wp:extent cx="2305050" cy="1269551"/>
          <wp:effectExtent l="0" t="0" r="95250" b="26035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ongress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5050" cy="1269551"/>
                  </a:xfrm>
                  <a:prstGeom prst="rect">
                    <a:avLst/>
                  </a:prstGeom>
                  <a:ln w="3175" cap="sq">
                    <a:noFill/>
                    <a:prstDash val="solid"/>
                    <a:miter lim="800000"/>
                  </a:ln>
                  <a:effectLst>
                    <a:outerShdw blurRad="50800" dist="38100" dir="2700000" algn="tl" rotWithShape="0">
                      <a:srgbClr val="000000">
                        <a:alpha val="43000"/>
                      </a:srgbClr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F2EEB" w:rsidRDefault="005F2EE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67D96"/>
    <w:multiLevelType w:val="hybridMultilevel"/>
    <w:tmpl w:val="9DB4718C"/>
    <w:lvl w:ilvl="0" w:tplc="26F02DD4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67B2F14"/>
    <w:multiLevelType w:val="hybridMultilevel"/>
    <w:tmpl w:val="2A963104"/>
    <w:lvl w:ilvl="0" w:tplc="E45A064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1CC826">
      <w:start w:val="1"/>
      <w:numFmt w:val="lowerLetter"/>
      <w:lvlText w:val="%2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56F4BE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78B31A">
      <w:start w:val="2"/>
      <w:numFmt w:val="lowerLetter"/>
      <w:lvlRestart w:val="0"/>
      <w:lvlText w:val="%4."/>
      <w:lvlJc w:val="left"/>
      <w:pPr>
        <w:ind w:left="1425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44D9B8">
      <w:start w:val="1"/>
      <w:numFmt w:val="lowerLetter"/>
      <w:lvlText w:val="%5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940338">
      <w:start w:val="1"/>
      <w:numFmt w:val="lowerRoman"/>
      <w:lvlText w:val="%6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98B7A4">
      <w:start w:val="1"/>
      <w:numFmt w:val="decimal"/>
      <w:lvlText w:val="%7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0073E2">
      <w:start w:val="1"/>
      <w:numFmt w:val="lowerLetter"/>
      <w:lvlText w:val="%8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988DFE">
      <w:start w:val="1"/>
      <w:numFmt w:val="lowerRoman"/>
      <w:lvlText w:val="%9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77D259E"/>
    <w:multiLevelType w:val="hybridMultilevel"/>
    <w:tmpl w:val="6756D370"/>
    <w:lvl w:ilvl="0" w:tplc="099278EE">
      <w:start w:val="2"/>
      <w:numFmt w:val="decimal"/>
      <w:lvlText w:val="%1)"/>
      <w:lvlJc w:val="left"/>
      <w:pPr>
        <w:ind w:left="720"/>
      </w:pPr>
      <w:rPr>
        <w:rFonts w:asciiTheme="minorHAnsi" w:eastAsia="Arial" w:hAnsiTheme="minorHAnsi" w:cstheme="minorHAnsi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AA770C">
      <w:start w:val="1"/>
      <w:numFmt w:val="lowerLetter"/>
      <w:lvlText w:val="%2."/>
      <w:lvlJc w:val="left"/>
      <w:pPr>
        <w:ind w:left="1425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A00714">
      <w:start w:val="1"/>
      <w:numFmt w:val="bullet"/>
      <w:lvlText w:val="-"/>
      <w:lvlJc w:val="left"/>
      <w:pPr>
        <w:ind w:left="15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F042F0">
      <w:start w:val="1"/>
      <w:numFmt w:val="bullet"/>
      <w:lvlText w:val="•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B24EF0">
      <w:start w:val="1"/>
      <w:numFmt w:val="bullet"/>
      <w:lvlText w:val="o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22A6BA">
      <w:start w:val="1"/>
      <w:numFmt w:val="bullet"/>
      <w:lvlText w:val="▪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5C7526">
      <w:start w:val="1"/>
      <w:numFmt w:val="bullet"/>
      <w:lvlText w:val="•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B0C1E6">
      <w:start w:val="1"/>
      <w:numFmt w:val="bullet"/>
      <w:lvlText w:val="o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7AA55C">
      <w:start w:val="1"/>
      <w:numFmt w:val="bullet"/>
      <w:lvlText w:val="▪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D1A7BF4"/>
    <w:multiLevelType w:val="hybridMultilevel"/>
    <w:tmpl w:val="B4F468E0"/>
    <w:lvl w:ilvl="0" w:tplc="F4A4E61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40EC7E">
      <w:start w:val="1"/>
      <w:numFmt w:val="lowerLetter"/>
      <w:lvlRestart w:val="0"/>
      <w:lvlText w:val="%2."/>
      <w:lvlJc w:val="left"/>
      <w:pPr>
        <w:ind w:left="1425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767884">
      <w:start w:val="1"/>
      <w:numFmt w:val="lowerRoman"/>
      <w:lvlText w:val="%3"/>
      <w:lvlJc w:val="left"/>
      <w:pPr>
        <w:ind w:left="20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82CBAE">
      <w:start w:val="1"/>
      <w:numFmt w:val="decimal"/>
      <w:lvlText w:val="%4"/>
      <w:lvlJc w:val="left"/>
      <w:pPr>
        <w:ind w:left="27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AA4366">
      <w:start w:val="1"/>
      <w:numFmt w:val="lowerLetter"/>
      <w:lvlText w:val="%5"/>
      <w:lvlJc w:val="left"/>
      <w:pPr>
        <w:ind w:left="34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4E9544">
      <w:start w:val="1"/>
      <w:numFmt w:val="lowerRoman"/>
      <w:lvlText w:val="%6"/>
      <w:lvlJc w:val="left"/>
      <w:pPr>
        <w:ind w:left="41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16FE6E">
      <w:start w:val="1"/>
      <w:numFmt w:val="decimal"/>
      <w:lvlText w:val="%7"/>
      <w:lvlJc w:val="left"/>
      <w:pPr>
        <w:ind w:left="48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866E36">
      <w:start w:val="1"/>
      <w:numFmt w:val="lowerLetter"/>
      <w:lvlText w:val="%8"/>
      <w:lvlJc w:val="left"/>
      <w:pPr>
        <w:ind w:left="56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6E7DCA">
      <w:start w:val="1"/>
      <w:numFmt w:val="lowerRoman"/>
      <w:lvlText w:val="%9"/>
      <w:lvlJc w:val="left"/>
      <w:pPr>
        <w:ind w:left="63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CBF010F"/>
    <w:multiLevelType w:val="hybridMultilevel"/>
    <w:tmpl w:val="770A1512"/>
    <w:lvl w:ilvl="0" w:tplc="C4C0771C">
      <w:start w:val="1"/>
      <w:numFmt w:val="lowerLetter"/>
      <w:lvlText w:val="%1."/>
      <w:lvlJc w:val="left"/>
      <w:pPr>
        <w:ind w:left="1425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74C90E">
      <w:start w:val="1"/>
      <w:numFmt w:val="lowerLetter"/>
      <w:lvlText w:val="%2"/>
      <w:lvlJc w:val="left"/>
      <w:pPr>
        <w:ind w:left="1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E2D9EA">
      <w:start w:val="1"/>
      <w:numFmt w:val="lowerRoman"/>
      <w:lvlText w:val="%3"/>
      <w:lvlJc w:val="left"/>
      <w:pPr>
        <w:ind w:left="2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745C22">
      <w:start w:val="1"/>
      <w:numFmt w:val="decimal"/>
      <w:lvlText w:val="%4"/>
      <w:lvlJc w:val="left"/>
      <w:pPr>
        <w:ind w:left="2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2833AE">
      <w:start w:val="1"/>
      <w:numFmt w:val="lowerLetter"/>
      <w:lvlText w:val="%5"/>
      <w:lvlJc w:val="left"/>
      <w:pPr>
        <w:ind w:left="36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FC71EA">
      <w:start w:val="1"/>
      <w:numFmt w:val="lowerRoman"/>
      <w:lvlText w:val="%6"/>
      <w:lvlJc w:val="left"/>
      <w:pPr>
        <w:ind w:left="43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E8A6C4">
      <w:start w:val="1"/>
      <w:numFmt w:val="decimal"/>
      <w:lvlText w:val="%7"/>
      <w:lvlJc w:val="left"/>
      <w:pPr>
        <w:ind w:left="50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E410F4">
      <w:start w:val="1"/>
      <w:numFmt w:val="lowerLetter"/>
      <w:lvlText w:val="%8"/>
      <w:lvlJc w:val="left"/>
      <w:pPr>
        <w:ind w:left="57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96B8D2">
      <w:start w:val="1"/>
      <w:numFmt w:val="lowerRoman"/>
      <w:lvlText w:val="%9"/>
      <w:lvlJc w:val="left"/>
      <w:pPr>
        <w:ind w:left="64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9B1362A"/>
    <w:multiLevelType w:val="hybridMultilevel"/>
    <w:tmpl w:val="2CFAF0AC"/>
    <w:lvl w:ilvl="0" w:tplc="B9DA946A">
      <w:start w:val="1"/>
      <w:numFmt w:val="bullet"/>
      <w:lvlText w:val="-"/>
      <w:lvlJc w:val="left"/>
      <w:pPr>
        <w:ind w:left="140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94F9DC">
      <w:start w:val="1"/>
      <w:numFmt w:val="bullet"/>
      <w:lvlText w:val="o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2C0DB4">
      <w:start w:val="1"/>
      <w:numFmt w:val="bullet"/>
      <w:lvlText w:val="▪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B2CE20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D465AA">
      <w:start w:val="1"/>
      <w:numFmt w:val="bullet"/>
      <w:lvlText w:val="o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9E0D44">
      <w:start w:val="1"/>
      <w:numFmt w:val="bullet"/>
      <w:lvlText w:val="▪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8061A4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448C08">
      <w:start w:val="1"/>
      <w:numFmt w:val="bullet"/>
      <w:lvlText w:val="o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6A5564">
      <w:start w:val="1"/>
      <w:numFmt w:val="bullet"/>
      <w:lvlText w:val="▪"/>
      <w:lvlJc w:val="left"/>
      <w:pPr>
        <w:ind w:left="68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25444B7"/>
    <w:multiLevelType w:val="hybridMultilevel"/>
    <w:tmpl w:val="A914F892"/>
    <w:lvl w:ilvl="0" w:tplc="89061440">
      <w:start w:val="1"/>
      <w:numFmt w:val="bullet"/>
      <w:lvlText w:val="-"/>
      <w:lvlJc w:val="left"/>
      <w:pPr>
        <w:ind w:left="14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206580">
      <w:start w:val="1"/>
      <w:numFmt w:val="bullet"/>
      <w:lvlText w:val="o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86A280">
      <w:start w:val="1"/>
      <w:numFmt w:val="bullet"/>
      <w:lvlText w:val="▪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529A5A">
      <w:start w:val="1"/>
      <w:numFmt w:val="bullet"/>
      <w:lvlText w:val="•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3A5FA4">
      <w:start w:val="1"/>
      <w:numFmt w:val="bullet"/>
      <w:lvlText w:val="o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C4C6B8">
      <w:start w:val="1"/>
      <w:numFmt w:val="bullet"/>
      <w:lvlText w:val="▪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D4E814">
      <w:start w:val="1"/>
      <w:numFmt w:val="bullet"/>
      <w:lvlText w:val="•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D2C054">
      <w:start w:val="1"/>
      <w:numFmt w:val="bullet"/>
      <w:lvlText w:val="o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207F82">
      <w:start w:val="1"/>
      <w:numFmt w:val="bullet"/>
      <w:lvlText w:val="▪"/>
      <w:lvlJc w:val="left"/>
      <w:pPr>
        <w:ind w:left="7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4B33F3E"/>
    <w:multiLevelType w:val="hybridMultilevel"/>
    <w:tmpl w:val="DB1AF69E"/>
    <w:lvl w:ilvl="0" w:tplc="982E8E0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466388">
      <w:start w:val="1"/>
      <w:numFmt w:val="bullet"/>
      <w:lvlText w:val="-"/>
      <w:lvlJc w:val="left"/>
      <w:pPr>
        <w:ind w:left="121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B26032">
      <w:start w:val="1"/>
      <w:numFmt w:val="bullet"/>
      <w:lvlText w:val="▪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926BB0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2EF1D4">
      <w:start w:val="1"/>
      <w:numFmt w:val="bullet"/>
      <w:lvlText w:val="o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185E4C">
      <w:start w:val="1"/>
      <w:numFmt w:val="bullet"/>
      <w:lvlText w:val="▪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C68522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A69CAC">
      <w:start w:val="1"/>
      <w:numFmt w:val="bullet"/>
      <w:lvlText w:val="o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2C53B4">
      <w:start w:val="1"/>
      <w:numFmt w:val="bullet"/>
      <w:lvlText w:val="▪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9517880"/>
    <w:multiLevelType w:val="hybridMultilevel"/>
    <w:tmpl w:val="4190A53A"/>
    <w:lvl w:ilvl="0" w:tplc="27AEADC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D21A74">
      <w:start w:val="1"/>
      <w:numFmt w:val="bullet"/>
      <w:lvlText w:val="o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64F7FA">
      <w:start w:val="1"/>
      <w:numFmt w:val="bullet"/>
      <w:lvlText w:val="▪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FA870A">
      <w:start w:val="1"/>
      <w:numFmt w:val="bullet"/>
      <w:lvlText w:val="•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A4305A">
      <w:start w:val="1"/>
      <w:numFmt w:val="bullet"/>
      <w:lvlRestart w:val="0"/>
      <w:lvlText w:val="-"/>
      <w:lvlJc w:val="left"/>
      <w:pPr>
        <w:ind w:left="15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D005F0">
      <w:start w:val="1"/>
      <w:numFmt w:val="bullet"/>
      <w:lvlText w:val="▪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EE7E7C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B6A1D2">
      <w:start w:val="1"/>
      <w:numFmt w:val="bullet"/>
      <w:lvlText w:val="o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A496FC">
      <w:start w:val="1"/>
      <w:numFmt w:val="bullet"/>
      <w:lvlText w:val="▪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8"/>
  </w:num>
  <w:num w:numId="6">
    <w:abstractNumId w:val="7"/>
  </w:num>
  <w:num w:numId="7">
    <w:abstractNumId w:val="4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AC7"/>
    <w:rsid w:val="00071703"/>
    <w:rsid w:val="003F621B"/>
    <w:rsid w:val="00443AC7"/>
    <w:rsid w:val="005F2EEB"/>
    <w:rsid w:val="007E6B60"/>
    <w:rsid w:val="00955E7B"/>
    <w:rsid w:val="00A34206"/>
    <w:rsid w:val="00E2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EBAD4D36-2C48-47B3-9989-E6FA6AFC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3" w:line="365" w:lineRule="auto"/>
      <w:ind w:left="10" w:hanging="10"/>
    </w:pPr>
    <w:rPr>
      <w:rFonts w:ascii="Arial" w:eastAsia="Arial" w:hAnsi="Arial" w:cs="Arial"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F2E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2EEB"/>
    <w:rPr>
      <w:rFonts w:ascii="Arial" w:eastAsia="Arial" w:hAnsi="Arial" w:cs="Arial"/>
      <w:color w:val="000000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5F2E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2EEB"/>
    <w:rPr>
      <w:rFonts w:ascii="Arial" w:eastAsia="Arial" w:hAnsi="Arial" w:cs="Arial"/>
      <w:color w:val="000000"/>
      <w:sz w:val="24"/>
    </w:rPr>
  </w:style>
  <w:style w:type="paragraph" w:styleId="Paragrafoelenco">
    <w:name w:val="List Paragraph"/>
    <w:basedOn w:val="Normale"/>
    <w:uiPriority w:val="34"/>
    <w:qFormat/>
    <w:rsid w:val="005F2E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1165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Notartel</Company>
  <LinksUpToDate>false</LinksUpToDate>
  <CharactersWithSpaces>7796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Wengenmayer, B. (BNotK)</dc:creator>
  <cp:keywords/>
  <cp:lastModifiedBy>Rita Caffelli</cp:lastModifiedBy>
  <cp:revision>6</cp:revision>
  <dcterms:created xsi:type="dcterms:W3CDTF">2020-05-05T14:05:00Z</dcterms:created>
  <dcterms:modified xsi:type="dcterms:W3CDTF">2020-05-11T14:53:00Z</dcterms:modified>
</cp:coreProperties>
</file>