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6366" w:rsidRDefault="00556366" w:rsidP="00556366">
      <w:pPr>
        <w:spacing w:line="320" w:lineRule="exact"/>
        <w:ind w:left="11" w:hanging="11"/>
        <w:jc w:val="center"/>
        <w:rPr>
          <w:b/>
          <w:color w:val="2F5496" w:themeColor="accent5" w:themeShade="BF"/>
          <w:sz w:val="28"/>
          <w:szCs w:val="28"/>
          <w:lang w:val="de-DE"/>
        </w:rPr>
      </w:pPr>
    </w:p>
    <w:p w:rsidR="00556366" w:rsidRDefault="00556366" w:rsidP="00556366">
      <w:pPr>
        <w:spacing w:line="320" w:lineRule="exact"/>
        <w:ind w:left="11" w:hanging="11"/>
        <w:jc w:val="center"/>
        <w:rPr>
          <w:b/>
          <w:color w:val="2F5496" w:themeColor="accent5" w:themeShade="BF"/>
          <w:sz w:val="28"/>
          <w:szCs w:val="28"/>
          <w:lang w:val="de-DE"/>
        </w:rPr>
      </w:pPr>
    </w:p>
    <w:p w:rsidR="00556366" w:rsidRDefault="00556366" w:rsidP="00B353C6">
      <w:pPr>
        <w:spacing w:before="120" w:line="320" w:lineRule="exact"/>
        <w:ind w:left="11" w:right="0" w:hanging="11"/>
        <w:jc w:val="center"/>
        <w:rPr>
          <w:b/>
          <w:color w:val="2F5496" w:themeColor="accent5" w:themeShade="BF"/>
          <w:sz w:val="28"/>
          <w:szCs w:val="28"/>
          <w:lang w:val="de-DE"/>
        </w:rPr>
      </w:pPr>
      <w:r w:rsidRPr="00863934">
        <w:rPr>
          <w:b/>
          <w:color w:val="2F5496" w:themeColor="accent5" w:themeShade="BF"/>
          <w:sz w:val="28"/>
          <w:szCs w:val="28"/>
          <w:lang w:val="de-DE"/>
        </w:rPr>
        <w:t>29. Internationaler K</w:t>
      </w:r>
      <w:bookmarkStart w:id="0" w:name="_GoBack"/>
      <w:bookmarkEnd w:id="0"/>
      <w:r w:rsidRPr="00863934">
        <w:rPr>
          <w:b/>
          <w:color w:val="2F5496" w:themeColor="accent5" w:themeShade="BF"/>
          <w:sz w:val="28"/>
          <w:szCs w:val="28"/>
          <w:lang w:val="de-DE"/>
        </w:rPr>
        <w:t xml:space="preserve">ongress des Notariats </w:t>
      </w:r>
    </w:p>
    <w:p w:rsidR="00556366" w:rsidRPr="00863934" w:rsidRDefault="00556366" w:rsidP="00556366">
      <w:pPr>
        <w:spacing w:after="120" w:line="320" w:lineRule="exact"/>
        <w:ind w:left="11" w:right="0" w:hanging="11"/>
        <w:jc w:val="center"/>
        <w:rPr>
          <w:color w:val="2F5496" w:themeColor="accent5" w:themeShade="BF"/>
          <w:szCs w:val="24"/>
          <w:lang w:val="de-DE"/>
        </w:rPr>
      </w:pPr>
      <w:r w:rsidRPr="00863934">
        <w:rPr>
          <w:b/>
          <w:color w:val="2F5496" w:themeColor="accent5" w:themeShade="BF"/>
          <w:szCs w:val="24"/>
          <w:lang w:val="de-DE"/>
        </w:rPr>
        <w:t>Jakarta, Indonesien – 27-30 November 2019</w:t>
      </w:r>
    </w:p>
    <w:p w:rsidR="009C2167" w:rsidRPr="00556366" w:rsidRDefault="00147C09" w:rsidP="007B2F80">
      <w:pPr>
        <w:spacing w:after="60" w:line="259" w:lineRule="auto"/>
        <w:ind w:left="11" w:right="6" w:hanging="11"/>
        <w:jc w:val="center"/>
        <w:rPr>
          <w:b/>
          <w:color w:val="2F5496" w:themeColor="accent5" w:themeShade="BF"/>
          <w:sz w:val="28"/>
          <w:szCs w:val="28"/>
          <w:lang w:val="de-DE"/>
        </w:rPr>
      </w:pPr>
      <w:r w:rsidRPr="00556366">
        <w:rPr>
          <w:b/>
          <w:color w:val="2F5496" w:themeColor="accent5" w:themeShade="BF"/>
          <w:sz w:val="28"/>
          <w:szCs w:val="28"/>
          <w:lang w:val="de-DE"/>
        </w:rPr>
        <w:t xml:space="preserve">Thema 2: Der Notar und die natürliche Person </w:t>
      </w:r>
    </w:p>
    <w:p w:rsidR="00556366" w:rsidRPr="00863934" w:rsidRDefault="00556366" w:rsidP="00556366">
      <w:pPr>
        <w:spacing w:after="120" w:line="320" w:lineRule="exact"/>
        <w:ind w:left="11" w:right="0" w:hanging="11"/>
        <w:jc w:val="center"/>
        <w:rPr>
          <w:color w:val="2F5496" w:themeColor="accent5" w:themeShade="BF"/>
          <w:sz w:val="28"/>
          <w:szCs w:val="28"/>
          <w:lang w:val="de-DE"/>
        </w:rPr>
      </w:pPr>
      <w:r w:rsidRPr="00863934">
        <w:rPr>
          <w:b/>
          <w:color w:val="2F5496" w:themeColor="accent5" w:themeShade="BF"/>
          <w:sz w:val="28"/>
          <w:szCs w:val="28"/>
          <w:lang w:val="de-DE"/>
        </w:rPr>
        <w:t xml:space="preserve">SCHLUSSFOLGERUNGEN </w:t>
      </w:r>
    </w:p>
    <w:p w:rsidR="00556366" w:rsidRPr="00556366" w:rsidRDefault="00556366" w:rsidP="00556366">
      <w:pPr>
        <w:spacing w:after="120" w:line="280" w:lineRule="exact"/>
        <w:ind w:left="70" w:firstLine="0"/>
        <w:jc w:val="center"/>
        <w:rPr>
          <w:rFonts w:asciiTheme="minorHAnsi" w:hAnsiTheme="minorHAnsi" w:cstheme="minorHAnsi"/>
          <w:sz w:val="24"/>
          <w:szCs w:val="24"/>
          <w:lang w:val="de-DE"/>
        </w:rPr>
      </w:pPr>
      <w:r w:rsidRPr="00556366">
        <w:rPr>
          <w:rFonts w:asciiTheme="minorHAnsi" w:hAnsiTheme="minorHAnsi" w:cstheme="minorHAnsi"/>
          <w:sz w:val="24"/>
          <w:szCs w:val="24"/>
          <w:lang w:val="de-DE"/>
        </w:rPr>
        <w:pict>
          <v:rect id="_x0000_i1025" style="width:0;height:1.5pt" o:hralign="center" o:hrstd="t" o:hr="t" fillcolor="#a0a0a0" stroked="f"/>
        </w:pict>
      </w:r>
    </w:p>
    <w:p w:rsidR="009C2167" w:rsidRPr="00556366" w:rsidRDefault="00147C09" w:rsidP="00556366">
      <w:pPr>
        <w:spacing w:after="120" w:line="280" w:lineRule="exact"/>
        <w:ind w:left="-5" w:right="0"/>
        <w:rPr>
          <w:rFonts w:asciiTheme="minorHAnsi" w:hAnsiTheme="minorHAnsi" w:cstheme="minorHAnsi"/>
          <w:sz w:val="24"/>
          <w:szCs w:val="24"/>
          <w:lang w:val="de-DE"/>
        </w:rPr>
      </w:pPr>
      <w:r w:rsidRPr="00556366">
        <w:rPr>
          <w:rFonts w:asciiTheme="minorHAnsi" w:hAnsiTheme="minorHAnsi" w:cstheme="minorHAnsi"/>
          <w:b/>
          <w:sz w:val="24"/>
          <w:szCs w:val="24"/>
          <w:lang w:val="de-DE"/>
        </w:rPr>
        <w:t xml:space="preserve">IN ANBETRACHT DER TATSACHE, </w:t>
      </w:r>
      <w:r w:rsidRPr="00556366">
        <w:rPr>
          <w:rFonts w:asciiTheme="minorHAnsi" w:hAnsiTheme="minorHAnsi" w:cstheme="minorHAnsi"/>
          <w:sz w:val="24"/>
          <w:szCs w:val="24"/>
          <w:lang w:val="de-DE"/>
        </w:rPr>
        <w:t>dass der Notar eine Behörde ist, die sich für die Sicherheit, Betreuung und Unterstützung natürlicher Personen in allen Lebensbereichen und sämtlichen vermögensrechtlichen, persönlichen und familiären Situationen einsetzt;</w:t>
      </w:r>
      <w:r w:rsidRPr="00556366">
        <w:rPr>
          <w:rFonts w:asciiTheme="minorHAnsi" w:hAnsiTheme="minorHAnsi" w:cstheme="minorHAnsi"/>
          <w:b/>
          <w:sz w:val="24"/>
          <w:szCs w:val="24"/>
          <w:lang w:val="de-DE"/>
        </w:rPr>
        <w:t xml:space="preserve"> </w:t>
      </w:r>
      <w:r w:rsidRPr="00556366">
        <w:rPr>
          <w:rFonts w:asciiTheme="minorHAnsi" w:hAnsiTheme="minorHAnsi" w:cstheme="minorHAnsi"/>
          <w:sz w:val="24"/>
          <w:szCs w:val="24"/>
          <w:lang w:val="de-DE"/>
        </w:rPr>
        <w:t xml:space="preserve"> </w:t>
      </w:r>
    </w:p>
    <w:p w:rsidR="009C2167" w:rsidRPr="00556366" w:rsidRDefault="00147C09" w:rsidP="00556366">
      <w:pPr>
        <w:spacing w:after="120" w:line="280" w:lineRule="exact"/>
        <w:ind w:left="-5" w:right="0"/>
        <w:rPr>
          <w:rFonts w:asciiTheme="minorHAnsi" w:hAnsiTheme="minorHAnsi" w:cstheme="minorHAnsi"/>
          <w:sz w:val="24"/>
          <w:szCs w:val="24"/>
          <w:lang w:val="de-DE"/>
        </w:rPr>
      </w:pPr>
      <w:r w:rsidRPr="00556366">
        <w:rPr>
          <w:rFonts w:asciiTheme="minorHAnsi" w:hAnsiTheme="minorHAnsi" w:cstheme="minorHAnsi"/>
          <w:b/>
          <w:sz w:val="24"/>
          <w:szCs w:val="24"/>
          <w:lang w:val="de-DE"/>
        </w:rPr>
        <w:t xml:space="preserve">IN ANBETRACHT </w:t>
      </w:r>
      <w:r w:rsidRPr="00556366">
        <w:rPr>
          <w:rFonts w:asciiTheme="minorHAnsi" w:hAnsiTheme="minorHAnsi" w:cstheme="minorHAnsi"/>
          <w:sz w:val="24"/>
          <w:szCs w:val="24"/>
          <w:lang w:val="de-DE"/>
        </w:rPr>
        <w:t xml:space="preserve">der Stellung und Entwicklung natürlicher Personen in der Gesellschaft, neuer </w:t>
      </w:r>
    </w:p>
    <w:p w:rsidR="009C2167" w:rsidRPr="00556366" w:rsidRDefault="00147C09" w:rsidP="00556366">
      <w:pPr>
        <w:spacing w:after="120" w:line="280" w:lineRule="exact"/>
        <w:ind w:left="-5" w:right="0"/>
        <w:rPr>
          <w:rFonts w:asciiTheme="minorHAnsi" w:hAnsiTheme="minorHAnsi" w:cstheme="minorHAnsi"/>
          <w:sz w:val="24"/>
          <w:szCs w:val="24"/>
          <w:lang w:val="de-DE"/>
        </w:rPr>
      </w:pPr>
      <w:r w:rsidRPr="00556366">
        <w:rPr>
          <w:rFonts w:asciiTheme="minorHAnsi" w:hAnsiTheme="minorHAnsi" w:cstheme="minorHAnsi"/>
          <w:sz w:val="24"/>
          <w:szCs w:val="24"/>
          <w:lang w:val="de-DE"/>
        </w:rPr>
        <w:t>Lebensstile natürlicher Personen, insbesondere der gesteigerten Mobilität, Internationalisierung, Digitalisierung und kultureller und sozialer Veränderungen;</w:t>
      </w:r>
      <w:r w:rsidRPr="00556366">
        <w:rPr>
          <w:rFonts w:asciiTheme="minorHAnsi" w:hAnsiTheme="minorHAnsi" w:cstheme="minorHAnsi"/>
          <w:b/>
          <w:sz w:val="24"/>
          <w:szCs w:val="24"/>
          <w:lang w:val="de-DE"/>
        </w:rPr>
        <w:t xml:space="preserve"> </w:t>
      </w:r>
      <w:r w:rsidRPr="00556366">
        <w:rPr>
          <w:rFonts w:asciiTheme="minorHAnsi" w:hAnsiTheme="minorHAnsi" w:cstheme="minorHAnsi"/>
          <w:sz w:val="24"/>
          <w:szCs w:val="24"/>
          <w:lang w:val="de-DE"/>
        </w:rPr>
        <w:t xml:space="preserve"> </w:t>
      </w:r>
    </w:p>
    <w:p w:rsidR="009C2167" w:rsidRPr="00556366" w:rsidRDefault="00147C09" w:rsidP="00556366">
      <w:pPr>
        <w:spacing w:after="120" w:line="280" w:lineRule="exact"/>
        <w:ind w:left="-5" w:right="0"/>
        <w:rPr>
          <w:rFonts w:asciiTheme="minorHAnsi" w:hAnsiTheme="minorHAnsi" w:cstheme="minorHAnsi"/>
          <w:sz w:val="24"/>
          <w:szCs w:val="24"/>
          <w:lang w:val="de-DE"/>
        </w:rPr>
      </w:pPr>
      <w:r w:rsidRPr="00556366">
        <w:rPr>
          <w:rFonts w:asciiTheme="minorHAnsi" w:hAnsiTheme="minorHAnsi" w:cstheme="minorHAnsi"/>
          <w:b/>
          <w:sz w:val="24"/>
          <w:szCs w:val="24"/>
          <w:lang w:val="de-DE"/>
        </w:rPr>
        <w:t>IN ANBETRACHT</w:t>
      </w:r>
      <w:r w:rsidRPr="00556366">
        <w:rPr>
          <w:rFonts w:asciiTheme="minorHAnsi" w:hAnsiTheme="minorHAnsi" w:cstheme="minorHAnsi"/>
          <w:sz w:val="24"/>
          <w:szCs w:val="24"/>
          <w:lang w:val="de-DE"/>
        </w:rPr>
        <w:t xml:space="preserve"> des Bedarfs an Rechtssicherheit, als Garant für sozialen Frieden, für die der Notar in seiner Eigenschaft als vertrauenswürdiger Dritter sorgen kann;  </w:t>
      </w:r>
    </w:p>
    <w:p w:rsidR="009C2167" w:rsidRPr="00556366" w:rsidRDefault="00147C09" w:rsidP="00556366">
      <w:pPr>
        <w:tabs>
          <w:tab w:val="center" w:pos="1104"/>
          <w:tab w:val="center" w:pos="2145"/>
          <w:tab w:val="center" w:pos="2977"/>
          <w:tab w:val="center" w:pos="3829"/>
          <w:tab w:val="center" w:pos="4365"/>
          <w:tab w:val="center" w:pos="5007"/>
          <w:tab w:val="center" w:pos="5916"/>
          <w:tab w:val="center" w:pos="6713"/>
          <w:tab w:val="center" w:pos="7501"/>
          <w:tab w:val="right" w:pos="9077"/>
        </w:tabs>
        <w:spacing w:after="120" w:line="280" w:lineRule="exact"/>
        <w:ind w:left="-15" w:right="0" w:firstLine="0"/>
        <w:jc w:val="left"/>
        <w:rPr>
          <w:rFonts w:asciiTheme="minorHAnsi" w:hAnsiTheme="minorHAnsi" w:cstheme="minorHAnsi"/>
          <w:sz w:val="24"/>
          <w:szCs w:val="24"/>
          <w:lang w:val="de-DE"/>
        </w:rPr>
      </w:pPr>
      <w:r w:rsidRPr="00556366">
        <w:rPr>
          <w:rFonts w:asciiTheme="minorHAnsi" w:hAnsiTheme="minorHAnsi" w:cstheme="minorHAnsi"/>
          <w:b/>
          <w:sz w:val="24"/>
          <w:szCs w:val="24"/>
          <w:lang w:val="de-DE"/>
        </w:rPr>
        <w:t xml:space="preserve">IN </w:t>
      </w:r>
      <w:r w:rsidRPr="00556366">
        <w:rPr>
          <w:rFonts w:asciiTheme="minorHAnsi" w:hAnsiTheme="minorHAnsi" w:cstheme="minorHAnsi"/>
          <w:b/>
          <w:sz w:val="24"/>
          <w:szCs w:val="24"/>
          <w:lang w:val="de-DE"/>
        </w:rPr>
        <w:tab/>
        <w:t>ANBETRACHT</w:t>
      </w:r>
      <w:r w:rsidRPr="00556366">
        <w:rPr>
          <w:rFonts w:asciiTheme="minorHAnsi" w:hAnsiTheme="minorHAnsi" w:cstheme="minorHAnsi"/>
          <w:sz w:val="24"/>
          <w:szCs w:val="24"/>
          <w:lang w:val="de-DE"/>
        </w:rPr>
        <w:t xml:space="preserve"> </w:t>
      </w:r>
      <w:r w:rsidRPr="00556366">
        <w:rPr>
          <w:rFonts w:asciiTheme="minorHAnsi" w:hAnsiTheme="minorHAnsi" w:cstheme="minorHAnsi"/>
          <w:sz w:val="24"/>
          <w:szCs w:val="24"/>
          <w:lang w:val="de-DE"/>
        </w:rPr>
        <w:tab/>
        <w:t xml:space="preserve">des </w:t>
      </w:r>
      <w:r w:rsidRPr="00556366">
        <w:rPr>
          <w:rFonts w:asciiTheme="minorHAnsi" w:hAnsiTheme="minorHAnsi" w:cstheme="minorHAnsi"/>
          <w:sz w:val="24"/>
          <w:szCs w:val="24"/>
          <w:lang w:val="de-DE"/>
        </w:rPr>
        <w:tab/>
        <w:t xml:space="preserve">Ausmaßes </w:t>
      </w:r>
      <w:r w:rsidRPr="00556366">
        <w:rPr>
          <w:rFonts w:asciiTheme="minorHAnsi" w:hAnsiTheme="minorHAnsi" w:cstheme="minorHAnsi"/>
          <w:sz w:val="24"/>
          <w:szCs w:val="24"/>
          <w:lang w:val="de-DE"/>
        </w:rPr>
        <w:tab/>
        <w:t xml:space="preserve">und </w:t>
      </w:r>
      <w:r w:rsidRPr="00556366">
        <w:rPr>
          <w:rFonts w:asciiTheme="minorHAnsi" w:hAnsiTheme="minorHAnsi" w:cstheme="minorHAnsi"/>
          <w:sz w:val="24"/>
          <w:szCs w:val="24"/>
          <w:lang w:val="de-DE"/>
        </w:rPr>
        <w:tab/>
        <w:t xml:space="preserve">der </w:t>
      </w:r>
      <w:r w:rsidRPr="00556366">
        <w:rPr>
          <w:rFonts w:asciiTheme="minorHAnsi" w:hAnsiTheme="minorHAnsi" w:cstheme="minorHAnsi"/>
          <w:sz w:val="24"/>
          <w:szCs w:val="24"/>
          <w:lang w:val="de-DE"/>
        </w:rPr>
        <w:tab/>
        <w:t xml:space="preserve">steten </w:t>
      </w:r>
      <w:r w:rsidRPr="00556366">
        <w:rPr>
          <w:rFonts w:asciiTheme="minorHAnsi" w:hAnsiTheme="minorHAnsi" w:cstheme="minorHAnsi"/>
          <w:sz w:val="24"/>
          <w:szCs w:val="24"/>
          <w:lang w:val="de-DE"/>
        </w:rPr>
        <w:tab/>
        <w:t xml:space="preserve">Zunahme </w:t>
      </w:r>
      <w:r w:rsidRPr="00556366">
        <w:rPr>
          <w:rFonts w:asciiTheme="minorHAnsi" w:hAnsiTheme="minorHAnsi" w:cstheme="minorHAnsi"/>
          <w:sz w:val="24"/>
          <w:szCs w:val="24"/>
          <w:lang w:val="de-DE"/>
        </w:rPr>
        <w:tab/>
        <w:t xml:space="preserve">von </w:t>
      </w:r>
      <w:r w:rsidRPr="00556366">
        <w:rPr>
          <w:rFonts w:asciiTheme="minorHAnsi" w:hAnsiTheme="minorHAnsi" w:cstheme="minorHAnsi"/>
          <w:sz w:val="24"/>
          <w:szCs w:val="24"/>
          <w:lang w:val="de-DE"/>
        </w:rPr>
        <w:tab/>
        <w:t xml:space="preserve">Anfragen </w:t>
      </w:r>
      <w:r w:rsidRPr="00556366">
        <w:rPr>
          <w:rFonts w:asciiTheme="minorHAnsi" w:hAnsiTheme="minorHAnsi" w:cstheme="minorHAnsi"/>
          <w:sz w:val="24"/>
          <w:szCs w:val="24"/>
          <w:lang w:val="de-DE"/>
        </w:rPr>
        <w:tab/>
        <w:t xml:space="preserve">notarieller </w:t>
      </w:r>
    </w:p>
    <w:p w:rsidR="009C2167" w:rsidRPr="00556366" w:rsidRDefault="00147C09" w:rsidP="00556366">
      <w:pPr>
        <w:spacing w:after="120" w:line="280" w:lineRule="exact"/>
        <w:ind w:left="-5" w:right="3537"/>
        <w:rPr>
          <w:rFonts w:asciiTheme="minorHAnsi" w:hAnsiTheme="minorHAnsi" w:cstheme="minorHAnsi"/>
          <w:sz w:val="24"/>
          <w:szCs w:val="24"/>
        </w:rPr>
      </w:pPr>
      <w:r w:rsidRPr="00556366">
        <w:rPr>
          <w:rFonts w:asciiTheme="minorHAnsi" w:hAnsiTheme="minorHAnsi" w:cstheme="minorHAnsi"/>
          <w:sz w:val="24"/>
          <w:szCs w:val="24"/>
          <w:lang w:val="de-DE"/>
        </w:rPr>
        <w:t xml:space="preserve">Rechtsdienstleistungen durch natürliche </w:t>
      </w:r>
      <w:proofErr w:type="gramStart"/>
      <w:r w:rsidRPr="00556366">
        <w:rPr>
          <w:rFonts w:asciiTheme="minorHAnsi" w:hAnsiTheme="minorHAnsi" w:cstheme="minorHAnsi"/>
          <w:sz w:val="24"/>
          <w:szCs w:val="24"/>
          <w:lang w:val="de-DE"/>
        </w:rPr>
        <w:t>Personen;  empfiehlt</w:t>
      </w:r>
      <w:proofErr w:type="gramEnd"/>
      <w:r w:rsidRPr="00556366">
        <w:rPr>
          <w:rFonts w:asciiTheme="minorHAnsi" w:hAnsiTheme="minorHAnsi" w:cstheme="minorHAnsi"/>
          <w:sz w:val="24"/>
          <w:szCs w:val="24"/>
          <w:lang w:val="de-DE"/>
        </w:rPr>
        <w:t xml:space="preserve"> der 29. Internationale Kongress des Notariats: </w:t>
      </w:r>
    </w:p>
    <w:p w:rsidR="009C2167" w:rsidRPr="00556366" w:rsidRDefault="00556366" w:rsidP="00556366">
      <w:pPr>
        <w:spacing w:after="40" w:line="280" w:lineRule="exact"/>
        <w:ind w:left="426" w:right="0" w:hanging="441"/>
        <w:rPr>
          <w:rFonts w:asciiTheme="minorHAnsi" w:hAnsiTheme="minorHAnsi" w:cstheme="minorHAnsi"/>
          <w:sz w:val="24"/>
          <w:szCs w:val="24"/>
          <w:lang w:val="de-DE"/>
        </w:rPr>
      </w:pPr>
      <w:r w:rsidRPr="00556366">
        <w:rPr>
          <w:rFonts w:asciiTheme="minorHAnsi" w:hAnsiTheme="minorHAnsi" w:cstheme="minorHAnsi"/>
          <w:sz w:val="24"/>
          <w:szCs w:val="24"/>
          <w:lang w:val="de-DE"/>
        </w:rPr>
        <w:t>1°)</w:t>
      </w:r>
      <w:r w:rsidRPr="00556366">
        <w:rPr>
          <w:rFonts w:asciiTheme="minorHAnsi" w:hAnsiTheme="minorHAnsi" w:cstheme="minorHAnsi"/>
          <w:sz w:val="24"/>
          <w:szCs w:val="24"/>
          <w:lang w:val="de-DE"/>
        </w:rPr>
        <w:tab/>
      </w:r>
      <w:r w:rsidR="00147C09" w:rsidRPr="00556366">
        <w:rPr>
          <w:rFonts w:asciiTheme="minorHAnsi" w:hAnsiTheme="minorHAnsi" w:cstheme="minorHAnsi"/>
          <w:sz w:val="24"/>
          <w:szCs w:val="24"/>
          <w:lang w:val="de-DE"/>
        </w:rPr>
        <w:t xml:space="preserve">die Verstärkung und/oder Einführung: </w:t>
      </w:r>
    </w:p>
    <w:p w:rsidR="009C2167" w:rsidRPr="00556366" w:rsidRDefault="00147C09" w:rsidP="00556366">
      <w:pPr>
        <w:numPr>
          <w:ilvl w:val="0"/>
          <w:numId w:val="1"/>
        </w:numPr>
        <w:spacing w:after="40" w:line="280" w:lineRule="exact"/>
        <w:ind w:right="0" w:hanging="144"/>
        <w:rPr>
          <w:rFonts w:asciiTheme="minorHAnsi" w:hAnsiTheme="minorHAnsi" w:cstheme="minorHAnsi"/>
          <w:sz w:val="24"/>
          <w:szCs w:val="24"/>
          <w:lang w:val="de-DE"/>
        </w:rPr>
      </w:pPr>
      <w:r w:rsidRPr="00556366">
        <w:rPr>
          <w:rFonts w:asciiTheme="minorHAnsi" w:hAnsiTheme="minorHAnsi" w:cstheme="minorHAnsi"/>
          <w:sz w:val="24"/>
          <w:szCs w:val="24"/>
          <w:lang w:val="de-DE"/>
        </w:rPr>
        <w:t xml:space="preserve">der Mitwirkung des Notars, um die vertragliche Regelung im Hinblick auf die Empfängnis und Abstammung eines geborenen bzw. ungeborenen Kindes sicherzustellen und dessen Rechte sowie die Rechte seiner Eltern besser zu schützen;   </w:t>
      </w:r>
    </w:p>
    <w:p w:rsidR="009C2167" w:rsidRPr="00556366" w:rsidRDefault="00147C09" w:rsidP="00556366">
      <w:pPr>
        <w:numPr>
          <w:ilvl w:val="0"/>
          <w:numId w:val="1"/>
        </w:numPr>
        <w:spacing w:after="40" w:line="280" w:lineRule="exact"/>
        <w:ind w:right="0" w:hanging="144"/>
        <w:rPr>
          <w:rFonts w:asciiTheme="minorHAnsi" w:hAnsiTheme="minorHAnsi" w:cstheme="minorHAnsi"/>
          <w:sz w:val="24"/>
          <w:szCs w:val="24"/>
          <w:lang w:val="de-DE"/>
        </w:rPr>
      </w:pPr>
      <w:r w:rsidRPr="00556366">
        <w:rPr>
          <w:rFonts w:asciiTheme="minorHAnsi" w:hAnsiTheme="minorHAnsi" w:cstheme="minorHAnsi"/>
          <w:sz w:val="24"/>
          <w:szCs w:val="24"/>
          <w:lang w:val="de-DE"/>
        </w:rPr>
        <w:t xml:space="preserve">der Aufgaben des Notars im Bereich der Anerkennung verschiedener Abstammungsmethoden, insbesondere der Adoption, durch Errichtung einer notariellen Urkunde;   </w:t>
      </w:r>
    </w:p>
    <w:p w:rsidR="009C2167" w:rsidRPr="00556366" w:rsidRDefault="00147C09" w:rsidP="00556366">
      <w:pPr>
        <w:numPr>
          <w:ilvl w:val="0"/>
          <w:numId w:val="1"/>
        </w:numPr>
        <w:spacing w:after="40" w:line="280" w:lineRule="exact"/>
        <w:ind w:right="0" w:hanging="144"/>
        <w:rPr>
          <w:rFonts w:asciiTheme="minorHAnsi" w:hAnsiTheme="minorHAnsi" w:cstheme="minorHAnsi"/>
          <w:sz w:val="24"/>
          <w:szCs w:val="24"/>
          <w:lang w:val="de-DE"/>
        </w:rPr>
      </w:pPr>
      <w:r w:rsidRPr="00556366">
        <w:rPr>
          <w:rFonts w:asciiTheme="minorHAnsi" w:hAnsiTheme="minorHAnsi" w:cstheme="minorHAnsi"/>
          <w:sz w:val="24"/>
          <w:szCs w:val="24"/>
          <w:lang w:val="de-DE"/>
        </w:rPr>
        <w:t xml:space="preserve">der Rolle des Notars im Rahmen der freiwilligen Gerichtsbarkeit; </w:t>
      </w:r>
    </w:p>
    <w:p w:rsidR="009C2167" w:rsidRPr="00556366" w:rsidRDefault="00147C09" w:rsidP="00556366">
      <w:pPr>
        <w:numPr>
          <w:ilvl w:val="0"/>
          <w:numId w:val="1"/>
        </w:numPr>
        <w:spacing w:after="40" w:line="280" w:lineRule="exact"/>
        <w:ind w:right="0" w:hanging="144"/>
        <w:rPr>
          <w:rFonts w:asciiTheme="minorHAnsi" w:hAnsiTheme="minorHAnsi" w:cstheme="minorHAnsi"/>
          <w:sz w:val="24"/>
          <w:szCs w:val="24"/>
          <w:lang w:val="de-DE"/>
        </w:rPr>
      </w:pPr>
      <w:r w:rsidRPr="00556366">
        <w:rPr>
          <w:rFonts w:asciiTheme="minorHAnsi" w:hAnsiTheme="minorHAnsi" w:cstheme="minorHAnsi"/>
          <w:sz w:val="24"/>
          <w:szCs w:val="24"/>
          <w:lang w:val="de-DE"/>
        </w:rPr>
        <w:t xml:space="preserve">der Mitwirkung des Notars bei der Regelung sozialer Beziehungen durch die Einführung alternativer Methoden der Streitbeilegung, der Prävention von Familienstreitigkeiten und des Abschlusses von Abkommen in gegenseitigem Einvernehmen;  </w:t>
      </w:r>
    </w:p>
    <w:p w:rsidR="009C2167" w:rsidRPr="00556366" w:rsidRDefault="00147C09" w:rsidP="00556366">
      <w:pPr>
        <w:numPr>
          <w:ilvl w:val="0"/>
          <w:numId w:val="1"/>
        </w:numPr>
        <w:spacing w:after="40" w:line="280" w:lineRule="exact"/>
        <w:ind w:right="0" w:hanging="144"/>
        <w:rPr>
          <w:rFonts w:asciiTheme="minorHAnsi" w:hAnsiTheme="minorHAnsi" w:cstheme="minorHAnsi"/>
          <w:sz w:val="24"/>
          <w:szCs w:val="24"/>
          <w:lang w:val="de-DE"/>
        </w:rPr>
      </w:pPr>
      <w:r w:rsidRPr="00556366">
        <w:rPr>
          <w:rFonts w:asciiTheme="minorHAnsi" w:hAnsiTheme="minorHAnsi" w:cstheme="minorHAnsi"/>
          <w:sz w:val="24"/>
          <w:szCs w:val="24"/>
          <w:lang w:val="de-DE"/>
        </w:rPr>
        <w:t xml:space="preserve">des Beitrags des Notars zum Schutz der Menschenrechte und des Eigentums von Personen, die aufgrund ihres Alters oder einer Behinderung eines besonderen Schutzes bedürfen;  </w:t>
      </w:r>
    </w:p>
    <w:p w:rsidR="009C2167" w:rsidRPr="00556366" w:rsidRDefault="00147C09" w:rsidP="00556366">
      <w:pPr>
        <w:numPr>
          <w:ilvl w:val="0"/>
          <w:numId w:val="1"/>
        </w:numPr>
        <w:spacing w:after="120" w:line="280" w:lineRule="exact"/>
        <w:ind w:right="0" w:hanging="144"/>
        <w:rPr>
          <w:rFonts w:asciiTheme="minorHAnsi" w:hAnsiTheme="minorHAnsi" w:cstheme="minorHAnsi"/>
          <w:sz w:val="24"/>
          <w:szCs w:val="24"/>
          <w:lang w:val="de-DE"/>
        </w:rPr>
      </w:pPr>
      <w:r w:rsidRPr="00556366">
        <w:rPr>
          <w:rFonts w:asciiTheme="minorHAnsi" w:hAnsiTheme="minorHAnsi" w:cstheme="minorHAnsi"/>
          <w:sz w:val="24"/>
          <w:szCs w:val="24"/>
          <w:lang w:val="de-DE"/>
        </w:rPr>
        <w:t xml:space="preserve">der Rolle des Notars im Hinblick auf den Beistand, die Unterstützung und Wahrung von Interessen schutzbedürftiger Personen;  </w:t>
      </w:r>
    </w:p>
    <w:p w:rsidR="009C2167" w:rsidRPr="00556366" w:rsidRDefault="00556366" w:rsidP="00556366">
      <w:pPr>
        <w:spacing w:after="120" w:line="280" w:lineRule="exact"/>
        <w:ind w:left="426" w:right="0" w:hanging="426"/>
        <w:rPr>
          <w:rFonts w:asciiTheme="minorHAnsi" w:hAnsiTheme="minorHAnsi" w:cstheme="minorHAnsi"/>
          <w:sz w:val="24"/>
          <w:szCs w:val="24"/>
          <w:lang w:val="de-DE"/>
        </w:rPr>
      </w:pPr>
      <w:r>
        <w:rPr>
          <w:rFonts w:asciiTheme="minorHAnsi" w:hAnsiTheme="minorHAnsi" w:cstheme="minorHAnsi"/>
          <w:sz w:val="24"/>
          <w:szCs w:val="24"/>
          <w:lang w:val="de-DE"/>
        </w:rPr>
        <w:t>2°)</w:t>
      </w:r>
      <w:r>
        <w:rPr>
          <w:rFonts w:asciiTheme="minorHAnsi" w:hAnsiTheme="minorHAnsi" w:cstheme="minorHAnsi"/>
          <w:sz w:val="24"/>
          <w:szCs w:val="24"/>
          <w:lang w:val="de-DE"/>
        </w:rPr>
        <w:tab/>
      </w:r>
      <w:r w:rsidR="00147C09" w:rsidRPr="00556366">
        <w:rPr>
          <w:rFonts w:asciiTheme="minorHAnsi" w:hAnsiTheme="minorHAnsi" w:cstheme="minorHAnsi"/>
          <w:sz w:val="24"/>
          <w:szCs w:val="24"/>
          <w:lang w:val="de-DE"/>
        </w:rPr>
        <w:t xml:space="preserve">die Förderung notarieller Rechtsdienstleistungen und Verbreitung klarer und leicht zugänglicher Informationen über den Notarberuf und die Vorteile der notariellen Mitwirkung durch Kommunikation seitens berufsrechtlicher Einrichtungen;   </w:t>
      </w:r>
    </w:p>
    <w:p w:rsidR="009C2167" w:rsidRPr="00556366" w:rsidRDefault="00556366" w:rsidP="00556366">
      <w:pPr>
        <w:spacing w:after="120" w:line="280" w:lineRule="exact"/>
        <w:ind w:left="426" w:right="0" w:hanging="426"/>
        <w:rPr>
          <w:rFonts w:asciiTheme="minorHAnsi" w:hAnsiTheme="minorHAnsi" w:cstheme="minorHAnsi"/>
          <w:sz w:val="24"/>
          <w:szCs w:val="24"/>
          <w:lang w:val="de-DE"/>
        </w:rPr>
      </w:pPr>
      <w:r>
        <w:rPr>
          <w:rFonts w:asciiTheme="minorHAnsi" w:hAnsiTheme="minorHAnsi" w:cstheme="minorHAnsi"/>
          <w:sz w:val="24"/>
          <w:szCs w:val="24"/>
          <w:lang w:val="de-DE"/>
        </w:rPr>
        <w:t>3°)</w:t>
      </w:r>
      <w:r>
        <w:rPr>
          <w:rFonts w:asciiTheme="minorHAnsi" w:hAnsiTheme="minorHAnsi" w:cstheme="minorHAnsi"/>
          <w:sz w:val="24"/>
          <w:szCs w:val="24"/>
          <w:lang w:val="de-DE"/>
        </w:rPr>
        <w:tab/>
      </w:r>
      <w:r w:rsidR="00147C09" w:rsidRPr="00556366">
        <w:rPr>
          <w:rFonts w:asciiTheme="minorHAnsi" w:hAnsiTheme="minorHAnsi" w:cstheme="minorHAnsi"/>
          <w:sz w:val="24"/>
          <w:szCs w:val="24"/>
          <w:lang w:val="de-DE"/>
        </w:rPr>
        <w:t xml:space="preserve">das Ergreifen sämtlicher Maßnahmen, die erforderlich sind, um den Zugang zu notariellen Rechtsdienstleistungen im gesamten Land sicherzustellen;   </w:t>
      </w:r>
    </w:p>
    <w:p w:rsidR="00556366" w:rsidRDefault="00556366" w:rsidP="00556366">
      <w:pPr>
        <w:spacing w:line="280" w:lineRule="exact"/>
        <w:ind w:left="425" w:right="0" w:hanging="425"/>
        <w:rPr>
          <w:rFonts w:asciiTheme="minorHAnsi" w:hAnsiTheme="minorHAnsi" w:cstheme="minorHAnsi"/>
          <w:sz w:val="24"/>
          <w:szCs w:val="24"/>
          <w:lang w:val="de-DE"/>
        </w:rPr>
      </w:pPr>
      <w:r>
        <w:rPr>
          <w:rFonts w:asciiTheme="minorHAnsi" w:hAnsiTheme="minorHAnsi" w:cstheme="minorHAnsi"/>
          <w:sz w:val="24"/>
          <w:szCs w:val="24"/>
          <w:lang w:val="de-DE"/>
        </w:rPr>
        <w:t>4°)</w:t>
      </w:r>
      <w:r>
        <w:rPr>
          <w:rFonts w:asciiTheme="minorHAnsi" w:hAnsiTheme="minorHAnsi" w:cstheme="minorHAnsi"/>
          <w:sz w:val="24"/>
          <w:szCs w:val="24"/>
          <w:lang w:val="de-DE"/>
        </w:rPr>
        <w:tab/>
      </w:r>
      <w:r w:rsidR="00147C09" w:rsidRPr="00556366">
        <w:rPr>
          <w:rFonts w:asciiTheme="minorHAnsi" w:hAnsiTheme="minorHAnsi" w:cstheme="minorHAnsi"/>
          <w:sz w:val="24"/>
          <w:szCs w:val="24"/>
          <w:lang w:val="de-DE"/>
        </w:rPr>
        <w:t xml:space="preserve">die Berücksichtigung neuer Lebensstile natürlicher Personen, insbesondere die gesteigerte Mobilität, Internationalisierung, Digitalisierung sowie kulturelle und soziale Veränderungen, um die Gleichberechtigung zu fördern.  </w:t>
      </w:r>
    </w:p>
    <w:p w:rsidR="009C2167" w:rsidRPr="00556366" w:rsidRDefault="00556366" w:rsidP="00556366">
      <w:pPr>
        <w:pStyle w:val="Paragrafoelenco"/>
        <w:spacing w:before="120" w:after="120" w:line="280" w:lineRule="exact"/>
        <w:ind w:left="721" w:hanging="437"/>
        <w:contextualSpacing w:val="0"/>
        <w:jc w:val="center"/>
        <w:rPr>
          <w:rFonts w:cstheme="minorHAnsi"/>
          <w:sz w:val="24"/>
          <w:szCs w:val="24"/>
          <w:lang w:val="de-DE"/>
        </w:rPr>
      </w:pPr>
      <w:r w:rsidRPr="00C84ED7">
        <w:rPr>
          <w:rFonts w:cstheme="minorHAnsi"/>
          <w:b/>
          <w:szCs w:val="24"/>
          <w:lang w:val="de-DE"/>
        </w:rPr>
        <w:t>-∞-∞-∞-</w:t>
      </w:r>
      <w:r w:rsidR="00147C09" w:rsidRPr="00556366">
        <w:rPr>
          <w:rFonts w:cstheme="minorHAnsi"/>
          <w:sz w:val="24"/>
          <w:szCs w:val="24"/>
          <w:lang w:val="de-DE"/>
        </w:rPr>
        <w:t xml:space="preserve"> </w:t>
      </w:r>
    </w:p>
    <w:sectPr w:rsidR="009C2167" w:rsidRPr="00556366" w:rsidSect="00556366">
      <w:headerReference w:type="default" r:id="rId7"/>
      <w:footerReference w:type="default" r:id="rId8"/>
      <w:pgSz w:w="11906" w:h="16838"/>
      <w:pgMar w:top="1440" w:right="1413" w:bottom="993" w:left="1416" w:header="720" w:footer="4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6366" w:rsidRDefault="00556366" w:rsidP="00556366">
      <w:pPr>
        <w:spacing w:line="240" w:lineRule="auto"/>
      </w:pPr>
      <w:r>
        <w:separator/>
      </w:r>
    </w:p>
  </w:endnote>
  <w:endnote w:type="continuationSeparator" w:id="0">
    <w:p w:rsidR="00556366" w:rsidRDefault="00556366" w:rsidP="0055636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6366" w:rsidRPr="00556366" w:rsidRDefault="00556366">
    <w:pPr>
      <w:pStyle w:val="Pidipagina"/>
      <w:rPr>
        <w:rFonts w:asciiTheme="majorHAnsi" w:hAnsiTheme="majorHAnsi" w:cstheme="majorHAnsi"/>
        <w:i/>
        <w:color w:val="808080" w:themeColor="background1" w:themeShade="80"/>
        <w:sz w:val="20"/>
        <w:szCs w:val="20"/>
      </w:rPr>
    </w:pPr>
    <w:proofErr w:type="spellStart"/>
    <w:r w:rsidRPr="00556366">
      <w:rPr>
        <w:rFonts w:asciiTheme="majorHAnsi" w:hAnsiTheme="majorHAnsi" w:cstheme="majorHAnsi"/>
        <w:i/>
        <w:color w:val="808080" w:themeColor="background1" w:themeShade="80"/>
        <w:sz w:val="20"/>
        <w:szCs w:val="20"/>
      </w:rPr>
      <w:t>Deutsche</w:t>
    </w:r>
    <w:proofErr w:type="spellEnd"/>
    <w:r w:rsidRPr="00556366">
      <w:rPr>
        <w:rFonts w:asciiTheme="majorHAnsi" w:hAnsiTheme="majorHAnsi" w:cstheme="majorHAnsi"/>
        <w:i/>
        <w:color w:val="808080" w:themeColor="background1" w:themeShade="80"/>
        <w:sz w:val="20"/>
        <w:szCs w:val="20"/>
      </w:rPr>
      <w:t xml:space="preserve"> </w:t>
    </w:r>
    <w:proofErr w:type="spellStart"/>
    <w:r w:rsidRPr="00556366">
      <w:rPr>
        <w:rFonts w:asciiTheme="majorHAnsi" w:hAnsiTheme="majorHAnsi" w:cstheme="majorHAnsi"/>
        <w:i/>
        <w:color w:val="808080" w:themeColor="background1" w:themeShade="80"/>
        <w:sz w:val="20"/>
        <w:szCs w:val="20"/>
      </w:rPr>
      <w:t>Übersetzung</w:t>
    </w:r>
    <w:proofErr w:type="spellEnd"/>
    <w:r w:rsidRPr="00556366">
      <w:rPr>
        <w:rFonts w:asciiTheme="majorHAnsi" w:hAnsiTheme="majorHAnsi" w:cstheme="majorHAnsi"/>
        <w:i/>
        <w:color w:val="808080" w:themeColor="background1" w:themeShade="80"/>
        <w:sz w:val="20"/>
        <w:szCs w:val="20"/>
      </w:rPr>
      <w:t xml:space="preserve"> - </w:t>
    </w:r>
    <w:proofErr w:type="spellStart"/>
    <w:r w:rsidRPr="00556366">
      <w:rPr>
        <w:rFonts w:asciiTheme="majorHAnsi" w:hAnsiTheme="majorHAnsi" w:cstheme="majorHAnsi"/>
        <w:i/>
        <w:color w:val="808080" w:themeColor="background1" w:themeShade="80"/>
        <w:sz w:val="20"/>
        <w:szCs w:val="20"/>
      </w:rPr>
      <w:t>Originaltext</w:t>
    </w:r>
    <w:proofErr w:type="spellEnd"/>
    <w:r w:rsidRPr="00556366">
      <w:rPr>
        <w:rFonts w:asciiTheme="majorHAnsi" w:hAnsiTheme="majorHAnsi" w:cstheme="majorHAnsi"/>
        <w:i/>
        <w:color w:val="808080" w:themeColor="background1" w:themeShade="80"/>
        <w:sz w:val="20"/>
        <w:szCs w:val="20"/>
      </w:rPr>
      <w:t xml:space="preserve"> </w:t>
    </w:r>
    <w:proofErr w:type="spellStart"/>
    <w:r w:rsidRPr="00556366">
      <w:rPr>
        <w:rFonts w:asciiTheme="majorHAnsi" w:hAnsiTheme="majorHAnsi" w:cstheme="majorHAnsi"/>
        <w:i/>
        <w:color w:val="808080" w:themeColor="background1" w:themeShade="80"/>
        <w:sz w:val="20"/>
        <w:szCs w:val="20"/>
      </w:rPr>
      <w:t>Französisch</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6366" w:rsidRDefault="00556366" w:rsidP="00556366">
      <w:pPr>
        <w:spacing w:line="240" w:lineRule="auto"/>
      </w:pPr>
      <w:r>
        <w:separator/>
      </w:r>
    </w:p>
  </w:footnote>
  <w:footnote w:type="continuationSeparator" w:id="0">
    <w:p w:rsidR="00556366" w:rsidRDefault="00556366" w:rsidP="0055636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6366" w:rsidRDefault="00556366" w:rsidP="00556366">
    <w:r>
      <w:rPr>
        <w:noProof/>
      </w:rPr>
      <w:drawing>
        <wp:anchor distT="0" distB="0" distL="114300" distR="114300" simplePos="0" relativeHeight="251660288" behindDoc="1" locked="0" layoutInCell="1" allowOverlap="1" wp14:anchorId="29498C97" wp14:editId="05A34ADC">
          <wp:simplePos x="0" y="0"/>
          <wp:positionH relativeFrom="margin">
            <wp:align>left</wp:align>
          </wp:positionH>
          <wp:positionV relativeFrom="paragraph">
            <wp:posOffset>-98547</wp:posOffset>
          </wp:positionV>
          <wp:extent cx="2444683" cy="1021715"/>
          <wp:effectExtent l="0" t="0" r="0" b="6985"/>
          <wp:wrapNone/>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UINL 3LIN.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44683" cy="102171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1" locked="0" layoutInCell="1" allowOverlap="1" wp14:anchorId="647B90C4" wp14:editId="736DADE7">
          <wp:simplePos x="0" y="0"/>
          <wp:positionH relativeFrom="margin">
            <wp:posOffset>3632515</wp:posOffset>
          </wp:positionH>
          <wp:positionV relativeFrom="paragraph">
            <wp:posOffset>-242544</wp:posOffset>
          </wp:positionV>
          <wp:extent cx="2305050" cy="1269551"/>
          <wp:effectExtent l="0" t="0" r="95250" b="26035"/>
          <wp:wrapNone/>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ngress.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305050" cy="1269551"/>
                  </a:xfrm>
                  <a:prstGeom prst="rect">
                    <a:avLst/>
                  </a:prstGeom>
                  <a:ln w="3175" cap="sq">
                    <a:noFill/>
                    <a:prstDash val="solid"/>
                    <a:miter lim="800000"/>
                  </a:ln>
                  <a:effectLst>
                    <a:outerShdw blurRad="50800" dist="38100" dir="2700000" algn="tl" rotWithShape="0">
                      <a:srgbClr val="000000">
                        <a:alpha val="43000"/>
                      </a:srgbClr>
                    </a:outerShdw>
                  </a:effectLst>
                </pic:spPr>
              </pic:pic>
            </a:graphicData>
          </a:graphic>
          <wp14:sizeRelH relativeFrom="margin">
            <wp14:pctWidth>0</wp14:pctWidth>
          </wp14:sizeRelH>
          <wp14:sizeRelV relativeFrom="margin">
            <wp14:pctHeight>0</wp14:pctHeight>
          </wp14:sizeRelV>
        </wp:anchor>
      </w:drawing>
    </w:r>
  </w:p>
  <w:p w:rsidR="00556366" w:rsidRDefault="0055636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3F0E0D"/>
    <w:multiLevelType w:val="hybridMultilevel"/>
    <w:tmpl w:val="61D0E366"/>
    <w:lvl w:ilvl="0" w:tplc="74600722">
      <w:start w:val="1"/>
      <w:numFmt w:val="bullet"/>
      <w:lvlText w:val="-"/>
      <w:lvlJc w:val="left"/>
      <w:pPr>
        <w:ind w:left="427"/>
      </w:pPr>
      <w:rPr>
        <w:rFonts w:ascii="Cambria" w:eastAsia="Cambria" w:hAnsi="Cambria" w:cs="Cambria"/>
        <w:b w:val="0"/>
        <w:i w:val="0"/>
        <w:strike w:val="0"/>
        <w:dstrike w:val="0"/>
        <w:color w:val="000000"/>
        <w:sz w:val="21"/>
        <w:szCs w:val="21"/>
        <w:u w:val="none" w:color="000000"/>
        <w:bdr w:val="none" w:sz="0" w:space="0" w:color="auto"/>
        <w:shd w:val="clear" w:color="auto" w:fill="auto"/>
        <w:vertAlign w:val="baseline"/>
      </w:rPr>
    </w:lvl>
    <w:lvl w:ilvl="1" w:tplc="1DB89942">
      <w:start w:val="1"/>
      <w:numFmt w:val="bullet"/>
      <w:lvlText w:val="o"/>
      <w:lvlJc w:val="left"/>
      <w:pPr>
        <w:ind w:left="1363"/>
      </w:pPr>
      <w:rPr>
        <w:rFonts w:ascii="Cambria" w:eastAsia="Cambria" w:hAnsi="Cambria" w:cs="Cambria"/>
        <w:b w:val="0"/>
        <w:i w:val="0"/>
        <w:strike w:val="0"/>
        <w:dstrike w:val="0"/>
        <w:color w:val="000000"/>
        <w:sz w:val="21"/>
        <w:szCs w:val="21"/>
        <w:u w:val="none" w:color="000000"/>
        <w:bdr w:val="none" w:sz="0" w:space="0" w:color="auto"/>
        <w:shd w:val="clear" w:color="auto" w:fill="auto"/>
        <w:vertAlign w:val="baseline"/>
      </w:rPr>
    </w:lvl>
    <w:lvl w:ilvl="2" w:tplc="F31411CC">
      <w:start w:val="1"/>
      <w:numFmt w:val="bullet"/>
      <w:lvlText w:val="▪"/>
      <w:lvlJc w:val="left"/>
      <w:pPr>
        <w:ind w:left="2083"/>
      </w:pPr>
      <w:rPr>
        <w:rFonts w:ascii="Cambria" w:eastAsia="Cambria" w:hAnsi="Cambria" w:cs="Cambria"/>
        <w:b w:val="0"/>
        <w:i w:val="0"/>
        <w:strike w:val="0"/>
        <w:dstrike w:val="0"/>
        <w:color w:val="000000"/>
        <w:sz w:val="21"/>
        <w:szCs w:val="21"/>
        <w:u w:val="none" w:color="000000"/>
        <w:bdr w:val="none" w:sz="0" w:space="0" w:color="auto"/>
        <w:shd w:val="clear" w:color="auto" w:fill="auto"/>
        <w:vertAlign w:val="baseline"/>
      </w:rPr>
    </w:lvl>
    <w:lvl w:ilvl="3" w:tplc="2068BAD2">
      <w:start w:val="1"/>
      <w:numFmt w:val="bullet"/>
      <w:lvlText w:val="•"/>
      <w:lvlJc w:val="left"/>
      <w:pPr>
        <w:ind w:left="2803"/>
      </w:pPr>
      <w:rPr>
        <w:rFonts w:ascii="Cambria" w:eastAsia="Cambria" w:hAnsi="Cambria" w:cs="Cambria"/>
        <w:b w:val="0"/>
        <w:i w:val="0"/>
        <w:strike w:val="0"/>
        <w:dstrike w:val="0"/>
        <w:color w:val="000000"/>
        <w:sz w:val="21"/>
        <w:szCs w:val="21"/>
        <w:u w:val="none" w:color="000000"/>
        <w:bdr w:val="none" w:sz="0" w:space="0" w:color="auto"/>
        <w:shd w:val="clear" w:color="auto" w:fill="auto"/>
        <w:vertAlign w:val="baseline"/>
      </w:rPr>
    </w:lvl>
    <w:lvl w:ilvl="4" w:tplc="7E727BC6">
      <w:start w:val="1"/>
      <w:numFmt w:val="bullet"/>
      <w:lvlText w:val="o"/>
      <w:lvlJc w:val="left"/>
      <w:pPr>
        <w:ind w:left="3523"/>
      </w:pPr>
      <w:rPr>
        <w:rFonts w:ascii="Cambria" w:eastAsia="Cambria" w:hAnsi="Cambria" w:cs="Cambria"/>
        <w:b w:val="0"/>
        <w:i w:val="0"/>
        <w:strike w:val="0"/>
        <w:dstrike w:val="0"/>
        <w:color w:val="000000"/>
        <w:sz w:val="21"/>
        <w:szCs w:val="21"/>
        <w:u w:val="none" w:color="000000"/>
        <w:bdr w:val="none" w:sz="0" w:space="0" w:color="auto"/>
        <w:shd w:val="clear" w:color="auto" w:fill="auto"/>
        <w:vertAlign w:val="baseline"/>
      </w:rPr>
    </w:lvl>
    <w:lvl w:ilvl="5" w:tplc="FBCA100E">
      <w:start w:val="1"/>
      <w:numFmt w:val="bullet"/>
      <w:lvlText w:val="▪"/>
      <w:lvlJc w:val="left"/>
      <w:pPr>
        <w:ind w:left="4243"/>
      </w:pPr>
      <w:rPr>
        <w:rFonts w:ascii="Cambria" w:eastAsia="Cambria" w:hAnsi="Cambria" w:cs="Cambria"/>
        <w:b w:val="0"/>
        <w:i w:val="0"/>
        <w:strike w:val="0"/>
        <w:dstrike w:val="0"/>
        <w:color w:val="000000"/>
        <w:sz w:val="21"/>
        <w:szCs w:val="21"/>
        <w:u w:val="none" w:color="000000"/>
        <w:bdr w:val="none" w:sz="0" w:space="0" w:color="auto"/>
        <w:shd w:val="clear" w:color="auto" w:fill="auto"/>
        <w:vertAlign w:val="baseline"/>
      </w:rPr>
    </w:lvl>
    <w:lvl w:ilvl="6" w:tplc="2702F2AA">
      <w:start w:val="1"/>
      <w:numFmt w:val="bullet"/>
      <w:lvlText w:val="•"/>
      <w:lvlJc w:val="left"/>
      <w:pPr>
        <w:ind w:left="4963"/>
      </w:pPr>
      <w:rPr>
        <w:rFonts w:ascii="Cambria" w:eastAsia="Cambria" w:hAnsi="Cambria" w:cs="Cambria"/>
        <w:b w:val="0"/>
        <w:i w:val="0"/>
        <w:strike w:val="0"/>
        <w:dstrike w:val="0"/>
        <w:color w:val="000000"/>
        <w:sz w:val="21"/>
        <w:szCs w:val="21"/>
        <w:u w:val="none" w:color="000000"/>
        <w:bdr w:val="none" w:sz="0" w:space="0" w:color="auto"/>
        <w:shd w:val="clear" w:color="auto" w:fill="auto"/>
        <w:vertAlign w:val="baseline"/>
      </w:rPr>
    </w:lvl>
    <w:lvl w:ilvl="7" w:tplc="00E46E62">
      <w:start w:val="1"/>
      <w:numFmt w:val="bullet"/>
      <w:lvlText w:val="o"/>
      <w:lvlJc w:val="left"/>
      <w:pPr>
        <w:ind w:left="5683"/>
      </w:pPr>
      <w:rPr>
        <w:rFonts w:ascii="Cambria" w:eastAsia="Cambria" w:hAnsi="Cambria" w:cs="Cambria"/>
        <w:b w:val="0"/>
        <w:i w:val="0"/>
        <w:strike w:val="0"/>
        <w:dstrike w:val="0"/>
        <w:color w:val="000000"/>
        <w:sz w:val="21"/>
        <w:szCs w:val="21"/>
        <w:u w:val="none" w:color="000000"/>
        <w:bdr w:val="none" w:sz="0" w:space="0" w:color="auto"/>
        <w:shd w:val="clear" w:color="auto" w:fill="auto"/>
        <w:vertAlign w:val="baseline"/>
      </w:rPr>
    </w:lvl>
    <w:lvl w:ilvl="8" w:tplc="0C5C89E2">
      <w:start w:val="1"/>
      <w:numFmt w:val="bullet"/>
      <w:lvlText w:val="▪"/>
      <w:lvlJc w:val="left"/>
      <w:pPr>
        <w:ind w:left="6403"/>
      </w:pPr>
      <w:rPr>
        <w:rFonts w:ascii="Cambria" w:eastAsia="Cambria" w:hAnsi="Cambria" w:cs="Cambria"/>
        <w:b w:val="0"/>
        <w:i w:val="0"/>
        <w:strike w:val="0"/>
        <w:dstrike w:val="0"/>
        <w:color w:val="000000"/>
        <w:sz w:val="21"/>
        <w:szCs w:val="21"/>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2167"/>
    <w:rsid w:val="00147C09"/>
    <w:rsid w:val="003C7DC6"/>
    <w:rsid w:val="00556366"/>
    <w:rsid w:val="007B2F80"/>
    <w:rsid w:val="009C2167"/>
    <w:rsid w:val="00B353C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031EA3"/>
  <w15:docId w15:val="{B93060C3-836F-491B-9065-C425D1490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pacing w:after="0" w:line="355" w:lineRule="auto"/>
      <w:ind w:left="10" w:right="2" w:hanging="10"/>
      <w:jc w:val="both"/>
    </w:pPr>
    <w:rPr>
      <w:rFonts w:ascii="Cambria" w:eastAsia="Cambria" w:hAnsi="Cambria" w:cs="Cambria"/>
      <w:color w:val="000000"/>
      <w:sz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56366"/>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556366"/>
    <w:rPr>
      <w:rFonts w:ascii="Cambria" w:eastAsia="Cambria" w:hAnsi="Cambria" w:cs="Cambria"/>
      <w:color w:val="000000"/>
      <w:sz w:val="21"/>
    </w:rPr>
  </w:style>
  <w:style w:type="paragraph" w:styleId="Pidipagina">
    <w:name w:val="footer"/>
    <w:basedOn w:val="Normale"/>
    <w:link w:val="PidipaginaCarattere"/>
    <w:uiPriority w:val="99"/>
    <w:unhideWhenUsed/>
    <w:rsid w:val="00556366"/>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556366"/>
    <w:rPr>
      <w:rFonts w:ascii="Cambria" w:eastAsia="Cambria" w:hAnsi="Cambria" w:cs="Cambria"/>
      <w:color w:val="000000"/>
      <w:sz w:val="21"/>
    </w:rPr>
  </w:style>
  <w:style w:type="paragraph" w:styleId="Paragrafoelenco">
    <w:name w:val="List Paragraph"/>
    <w:basedOn w:val="Normale"/>
    <w:uiPriority w:val="34"/>
    <w:qFormat/>
    <w:rsid w:val="00556366"/>
    <w:pPr>
      <w:spacing w:after="160" w:line="256" w:lineRule="auto"/>
      <w:ind w:left="720" w:right="0" w:firstLine="0"/>
      <w:contextualSpacing/>
      <w:jc w:val="left"/>
    </w:pPr>
    <w:rPr>
      <w:rFonts w:asciiTheme="minorHAnsi" w:eastAsiaTheme="minorHAnsi" w:hAnsiTheme="minorHAnsi" w:cstheme="minorBidi"/>
      <w:color w:val="auto"/>
      <w:sz w:val="22"/>
      <w:lang w:val="fr-S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400</Words>
  <Characters>2286</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
    </vt:vector>
  </TitlesOfParts>
  <Company>Notartel</Company>
  <LinksUpToDate>false</LinksUpToDate>
  <CharactersWithSpaces>2681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FMT</dc:creator>
  <cp:keywords/>
  <cp:lastModifiedBy>Rita Caffelli</cp:lastModifiedBy>
  <cp:revision>5</cp:revision>
  <dcterms:created xsi:type="dcterms:W3CDTF">2020-05-05T15:24:00Z</dcterms:created>
  <dcterms:modified xsi:type="dcterms:W3CDTF">2020-05-05T15:35:00Z</dcterms:modified>
</cp:coreProperties>
</file>